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AA1F" w14:textId="77777777" w:rsidR="003F36BA" w:rsidRDefault="003F36BA" w:rsidP="003F36BA">
      <w:pPr>
        <w:spacing w:after="0" w:line="240" w:lineRule="auto"/>
        <w:rPr>
          <w:rFonts w:ascii="Times New Roman" w:hAnsi="Times New Roman"/>
          <w:b/>
          <w:szCs w:val="24"/>
          <w:lang w:eastAsia="fr-FR"/>
        </w:rPr>
      </w:pPr>
      <w:r>
        <w:rPr>
          <w:rFonts w:ascii="Times New Roman" w:hAnsi="Times New Roman"/>
          <w:b/>
          <w:noProof/>
          <w:szCs w:val="24"/>
          <w:lang w:eastAsia="fr-FR"/>
        </w:rPr>
        <w:drawing>
          <wp:inline distT="0" distB="0" distL="0" distR="0" wp14:anchorId="453AE119" wp14:editId="7EDA5398">
            <wp:extent cx="1000760" cy="431165"/>
            <wp:effectExtent l="0" t="0" r="889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860CC" w14:textId="77777777" w:rsidR="003F36BA" w:rsidRDefault="003F36BA" w:rsidP="003F36BA">
      <w:pPr>
        <w:keepNext/>
        <w:spacing w:after="0" w:line="240" w:lineRule="auto"/>
        <w:outlineLvl w:val="2"/>
        <w:rPr>
          <w:rFonts w:ascii="Times New Roman" w:hAnsi="Times New Roman"/>
          <w:sz w:val="18"/>
          <w:szCs w:val="24"/>
          <w:lang w:eastAsia="fr-FR"/>
        </w:rPr>
      </w:pPr>
      <w:r>
        <w:rPr>
          <w:rFonts w:ascii="Times New Roman" w:hAnsi="Times New Roman"/>
          <w:sz w:val="18"/>
          <w:szCs w:val="24"/>
          <w:lang w:eastAsia="fr-FR"/>
        </w:rPr>
        <w:t>Service du soutien au réseau (SR)</w:t>
      </w:r>
    </w:p>
    <w:p w14:paraId="0E463D91" w14:textId="77777777" w:rsidR="003F36BA" w:rsidRDefault="003F36BA" w:rsidP="003F36BA">
      <w:pPr>
        <w:spacing w:after="0" w:line="240" w:lineRule="auto"/>
        <w:rPr>
          <w:rFonts w:ascii="Times New Roman" w:hAnsi="Times New Roman"/>
          <w:sz w:val="18"/>
          <w:szCs w:val="24"/>
          <w:lang w:eastAsia="fr-FR"/>
        </w:rPr>
      </w:pPr>
      <w:r>
        <w:rPr>
          <w:rFonts w:ascii="Times New Roman" w:hAnsi="Times New Roman"/>
          <w:sz w:val="18"/>
          <w:szCs w:val="24"/>
          <w:lang w:eastAsia="fr-FR"/>
        </w:rPr>
        <w:t>Sous-direction de la communication, programmation et veille économique (1)</w:t>
      </w:r>
    </w:p>
    <w:p w14:paraId="37B493C8" w14:textId="77777777" w:rsidR="003F36BA" w:rsidRDefault="003F36BA" w:rsidP="003F36BA">
      <w:pPr>
        <w:spacing w:after="0" w:line="240" w:lineRule="auto"/>
        <w:rPr>
          <w:rFonts w:ascii="Times New Roman" w:hAnsi="Times New Roman"/>
          <w:sz w:val="18"/>
          <w:szCs w:val="24"/>
          <w:lang w:eastAsia="fr-FR"/>
        </w:rPr>
      </w:pPr>
      <w:r>
        <w:rPr>
          <w:rFonts w:ascii="Times New Roman" w:hAnsi="Times New Roman"/>
          <w:sz w:val="18"/>
          <w:szCs w:val="24"/>
          <w:lang w:eastAsia="fr-FR"/>
        </w:rPr>
        <w:t>Bureau de la veille économique et des prix (1B)</w:t>
      </w:r>
      <w:r>
        <w:rPr>
          <w:rFonts w:ascii="Times New Roman" w:hAnsi="Times New Roman"/>
          <w:sz w:val="18"/>
          <w:szCs w:val="24"/>
          <w:lang w:eastAsia="fr-FR"/>
        </w:rPr>
        <w:tab/>
      </w:r>
      <w:r>
        <w:rPr>
          <w:rFonts w:ascii="Times New Roman" w:hAnsi="Times New Roman"/>
          <w:szCs w:val="24"/>
          <w:lang w:eastAsia="fr-FR"/>
        </w:rPr>
        <w:tab/>
      </w:r>
      <w:r>
        <w:rPr>
          <w:rFonts w:ascii="Times New Roman" w:hAnsi="Times New Roman"/>
          <w:szCs w:val="24"/>
          <w:lang w:eastAsia="fr-FR"/>
        </w:rPr>
        <w:tab/>
      </w:r>
      <w:r>
        <w:rPr>
          <w:rFonts w:ascii="Times New Roman" w:hAnsi="Times New Roman"/>
          <w:szCs w:val="24"/>
          <w:lang w:eastAsia="fr-FR"/>
        </w:rPr>
        <w:tab/>
      </w:r>
      <w:r>
        <w:rPr>
          <w:rFonts w:ascii="Times New Roman" w:hAnsi="Times New Roman"/>
          <w:szCs w:val="24"/>
          <w:lang w:eastAsia="fr-FR"/>
        </w:rPr>
        <w:tab/>
      </w:r>
      <w:r>
        <w:rPr>
          <w:rFonts w:ascii="Times New Roman" w:hAnsi="Times New Roman"/>
          <w:szCs w:val="24"/>
          <w:lang w:eastAsia="fr-FR"/>
        </w:rPr>
        <w:tab/>
      </w:r>
      <w:r>
        <w:rPr>
          <w:rFonts w:ascii="Times New Roman" w:hAnsi="Times New Roman"/>
          <w:szCs w:val="24"/>
          <w:lang w:eastAsia="fr-FR"/>
        </w:rPr>
        <w:tab/>
      </w:r>
    </w:p>
    <w:p w14:paraId="25962AA9" w14:textId="77777777" w:rsidR="003F36BA" w:rsidRDefault="003F36BA" w:rsidP="003F36BA">
      <w:pPr>
        <w:spacing w:after="0" w:line="240" w:lineRule="auto"/>
        <w:rPr>
          <w:rFonts w:ascii="Times New Roman" w:hAnsi="Times New Roman"/>
          <w:sz w:val="16"/>
          <w:szCs w:val="16"/>
          <w:lang w:eastAsia="fr-FR"/>
        </w:rPr>
      </w:pPr>
    </w:p>
    <w:p w14:paraId="0CEF686B" w14:textId="77777777" w:rsidR="00DC0134" w:rsidRDefault="003F36BA" w:rsidP="006F4C84">
      <w:pPr>
        <w:spacing w:after="0" w:line="240" w:lineRule="auto"/>
        <w:jc w:val="center"/>
        <w:rPr>
          <w:rFonts w:ascii="Times New Roman" w:hAnsi="Times New Roman"/>
          <w:b/>
          <w:sz w:val="32"/>
          <w:szCs w:val="16"/>
          <w:lang w:eastAsia="fr-FR"/>
        </w:rPr>
      </w:pPr>
      <w:r>
        <w:rPr>
          <w:rFonts w:ascii="Times New Roman" w:hAnsi="Times New Roman"/>
          <w:b/>
          <w:sz w:val="32"/>
          <w:szCs w:val="16"/>
          <w:lang w:eastAsia="fr-FR"/>
        </w:rPr>
        <w:t xml:space="preserve">Évolution des prix dans </w:t>
      </w:r>
      <w:r w:rsidR="008A2782">
        <w:rPr>
          <w:rFonts w:ascii="Times New Roman" w:hAnsi="Times New Roman"/>
          <w:b/>
          <w:sz w:val="32"/>
          <w:szCs w:val="16"/>
          <w:lang w:eastAsia="fr-FR"/>
        </w:rPr>
        <w:t>les DOM et en métropole</w:t>
      </w:r>
      <w:r w:rsidR="006F4C84">
        <w:rPr>
          <w:rFonts w:ascii="Times New Roman" w:hAnsi="Times New Roman"/>
          <w:b/>
          <w:sz w:val="32"/>
          <w:szCs w:val="16"/>
          <w:lang w:eastAsia="fr-FR"/>
        </w:rPr>
        <w:t xml:space="preserve"> </w:t>
      </w:r>
    </w:p>
    <w:p w14:paraId="57858E3C" w14:textId="77777777" w:rsidR="003F36BA" w:rsidRPr="006F4C84" w:rsidRDefault="00EA37D4" w:rsidP="006F4C84">
      <w:pPr>
        <w:spacing w:after="0" w:line="240" w:lineRule="auto"/>
        <w:jc w:val="center"/>
        <w:rPr>
          <w:rFonts w:ascii="Times New Roman" w:hAnsi="Times New Roman"/>
          <w:b/>
          <w:sz w:val="32"/>
          <w:szCs w:val="16"/>
          <w:lang w:eastAsia="fr-FR"/>
        </w:rPr>
      </w:pPr>
      <w:r>
        <w:rPr>
          <w:rFonts w:ascii="Times New Roman" w:hAnsi="Times New Roman"/>
          <w:b/>
          <w:sz w:val="32"/>
          <w:szCs w:val="16"/>
          <w:lang w:eastAsia="fr-FR"/>
        </w:rPr>
        <w:t>déce</w:t>
      </w:r>
      <w:r w:rsidR="00DC0134">
        <w:rPr>
          <w:rFonts w:ascii="Times New Roman" w:hAnsi="Times New Roman"/>
          <w:b/>
          <w:sz w:val="32"/>
          <w:szCs w:val="16"/>
          <w:lang w:eastAsia="fr-FR"/>
        </w:rPr>
        <w:t>mbre</w:t>
      </w:r>
      <w:r w:rsidR="006F4C84">
        <w:rPr>
          <w:rFonts w:ascii="Times New Roman" w:hAnsi="Times New Roman"/>
          <w:b/>
          <w:sz w:val="32"/>
          <w:szCs w:val="16"/>
          <w:lang w:eastAsia="fr-FR"/>
        </w:rPr>
        <w:t xml:space="preserve"> 2018</w:t>
      </w:r>
      <w:r w:rsidR="008E22C8">
        <w:rPr>
          <w:rFonts w:ascii="Times New Roman" w:hAnsi="Times New Roman"/>
          <w:sz w:val="16"/>
          <w:szCs w:val="16"/>
          <w:lang w:eastAsia="fr-FR"/>
        </w:rPr>
        <w:pict w14:anchorId="18C5F46B">
          <v:rect id="_x0000_i1025" style="width:453.6pt;height:2.25pt" o:hralign="center" o:hrstd="t" o:hrnoshade="t" o:hr="t" fillcolor="#44546a" stroked="f"/>
        </w:pict>
      </w:r>
    </w:p>
    <w:p w14:paraId="39AE8AEF" w14:textId="77777777" w:rsidR="003F36BA" w:rsidRDefault="003F36BA" w:rsidP="003F36BA">
      <w:pPr>
        <w:spacing w:after="0" w:line="240" w:lineRule="auto"/>
        <w:rPr>
          <w:rFonts w:ascii="Times New Roman" w:hAnsi="Times New Roman"/>
          <w:sz w:val="16"/>
          <w:szCs w:val="16"/>
          <w:lang w:eastAsia="fr-FR"/>
        </w:rPr>
      </w:pPr>
    </w:p>
    <w:p w14:paraId="7814C551" w14:textId="17C3CEB2" w:rsidR="003F36BA" w:rsidRPr="00084F65" w:rsidRDefault="00B915E7" w:rsidP="006B2D67">
      <w:pPr>
        <w:shd w:val="clear" w:color="auto" w:fill="DEEAF6"/>
        <w:ind w:firstLine="708"/>
        <w:jc w:val="both"/>
        <w:rPr>
          <w:rFonts w:ascii="Times New Roman" w:hAnsi="Times New Roman"/>
          <w:b/>
          <w:color w:val="000000" w:themeColor="text1"/>
          <w:szCs w:val="24"/>
          <w:lang w:eastAsia="fr-FR"/>
        </w:rPr>
      </w:pPr>
      <w:r>
        <w:rPr>
          <w:rFonts w:ascii="Times New Roman" w:hAnsi="Times New Roman"/>
          <w:b/>
          <w:bCs/>
          <w:color w:val="000000"/>
          <w:lang w:eastAsia="fr-FR"/>
        </w:rPr>
        <w:t xml:space="preserve">En </w:t>
      </w:r>
      <w:r w:rsidR="008E383D">
        <w:rPr>
          <w:rFonts w:ascii="Times New Roman" w:hAnsi="Times New Roman"/>
          <w:b/>
          <w:bCs/>
          <w:color w:val="000000"/>
          <w:lang w:eastAsia="fr-FR"/>
        </w:rPr>
        <w:t>déc</w:t>
      </w:r>
      <w:r w:rsidR="00DC0134">
        <w:rPr>
          <w:rFonts w:ascii="Times New Roman" w:hAnsi="Times New Roman"/>
          <w:b/>
          <w:bCs/>
          <w:color w:val="000000"/>
          <w:lang w:eastAsia="fr-FR"/>
        </w:rPr>
        <w:t>embre</w:t>
      </w:r>
      <w:r w:rsidR="00630DF8">
        <w:rPr>
          <w:rFonts w:ascii="Times New Roman" w:hAnsi="Times New Roman"/>
          <w:b/>
          <w:bCs/>
          <w:color w:val="000000"/>
          <w:lang w:eastAsia="fr-FR"/>
        </w:rPr>
        <w:t xml:space="preserve"> </w:t>
      </w:r>
      <w:r w:rsidR="006B2D67">
        <w:rPr>
          <w:rFonts w:ascii="Times New Roman" w:hAnsi="Times New Roman"/>
          <w:b/>
          <w:bCs/>
          <w:color w:val="000000"/>
          <w:lang w:eastAsia="fr-FR"/>
        </w:rPr>
        <w:t>2018</w:t>
      </w:r>
      <w:r w:rsidR="00DC2C0C">
        <w:rPr>
          <w:rFonts w:ascii="Times New Roman" w:hAnsi="Times New Roman"/>
          <w:b/>
          <w:bCs/>
          <w:color w:val="000000"/>
          <w:lang w:eastAsia="fr-FR"/>
        </w:rPr>
        <w:t>,</w:t>
      </w:r>
      <w:r w:rsidR="006B2D67">
        <w:rPr>
          <w:rFonts w:ascii="Times New Roman" w:hAnsi="Times New Roman"/>
          <w:b/>
          <w:bCs/>
          <w:color w:val="000000"/>
          <w:lang w:eastAsia="fr-FR"/>
        </w:rPr>
        <w:t xml:space="preserve"> </w:t>
      </w:r>
      <w:r w:rsidR="007B325A">
        <w:rPr>
          <w:rFonts w:ascii="Times New Roman" w:hAnsi="Times New Roman"/>
          <w:b/>
          <w:bCs/>
          <w:color w:val="000000"/>
          <w:lang w:eastAsia="fr-FR"/>
        </w:rPr>
        <w:t xml:space="preserve">les prix sont en hausse </w:t>
      </w:r>
      <w:r w:rsidR="00262F40">
        <w:rPr>
          <w:rFonts w:ascii="Times New Roman" w:hAnsi="Times New Roman"/>
          <w:b/>
          <w:bCs/>
          <w:color w:val="000000"/>
          <w:lang w:eastAsia="fr-FR"/>
        </w:rPr>
        <w:t xml:space="preserve">de 0,2 % </w:t>
      </w:r>
      <w:r w:rsidR="001C1381">
        <w:rPr>
          <w:rFonts w:ascii="Times New Roman" w:hAnsi="Times New Roman"/>
          <w:b/>
          <w:bCs/>
          <w:color w:val="000000"/>
          <w:lang w:eastAsia="fr-FR"/>
        </w:rPr>
        <w:t xml:space="preserve">en moyenne </w:t>
      </w:r>
      <w:r w:rsidR="00262F40">
        <w:rPr>
          <w:rFonts w:ascii="Times New Roman" w:hAnsi="Times New Roman"/>
          <w:b/>
          <w:bCs/>
          <w:color w:val="000000"/>
          <w:lang w:eastAsia="fr-FR"/>
        </w:rPr>
        <w:t>dans les DOM. La hausse est principalement liée aux produits alimentaires</w:t>
      </w:r>
      <w:r w:rsidR="0071275A">
        <w:rPr>
          <w:rFonts w:ascii="Times New Roman" w:hAnsi="Times New Roman"/>
          <w:b/>
          <w:bCs/>
          <w:color w:val="000000"/>
          <w:lang w:eastAsia="fr-FR"/>
        </w:rPr>
        <w:t xml:space="preserve"> et aux services, qui augmentent partout, et dans une moindre mesure aux produits manufacturés (en</w:t>
      </w:r>
      <w:r w:rsidR="00145C39">
        <w:rPr>
          <w:rFonts w:ascii="Times New Roman" w:hAnsi="Times New Roman"/>
          <w:b/>
          <w:bCs/>
          <w:color w:val="000000"/>
          <w:lang w:eastAsia="fr-FR"/>
        </w:rPr>
        <w:t xml:space="preserve"> hausse surtout</w:t>
      </w:r>
      <w:r w:rsidR="0071275A">
        <w:rPr>
          <w:rFonts w:ascii="Times New Roman" w:hAnsi="Times New Roman"/>
          <w:b/>
          <w:bCs/>
          <w:color w:val="000000"/>
          <w:lang w:eastAsia="fr-FR"/>
        </w:rPr>
        <w:t xml:space="preserve"> en Guadeloupe). Les prix de l’énergie, à l’inverse, sont partout en </w:t>
      </w:r>
      <w:r w:rsidR="00346028">
        <w:rPr>
          <w:rFonts w:ascii="Times New Roman" w:hAnsi="Times New Roman"/>
          <w:b/>
          <w:bCs/>
          <w:color w:val="000000"/>
          <w:lang w:eastAsia="fr-FR"/>
        </w:rPr>
        <w:t xml:space="preserve">forte </w:t>
      </w:r>
      <w:r w:rsidR="0071275A">
        <w:rPr>
          <w:rFonts w:ascii="Times New Roman" w:hAnsi="Times New Roman"/>
          <w:b/>
          <w:bCs/>
          <w:color w:val="000000"/>
          <w:lang w:eastAsia="fr-FR"/>
        </w:rPr>
        <w:t>baisse</w:t>
      </w:r>
      <w:r w:rsidR="008E22C8">
        <w:rPr>
          <w:rFonts w:ascii="Times New Roman" w:hAnsi="Times New Roman"/>
          <w:b/>
          <w:bCs/>
          <w:color w:val="000000"/>
          <w:lang w:eastAsia="fr-FR"/>
        </w:rPr>
        <w:t>, dans le sillage de la baisse des cours du pétrole</w:t>
      </w:r>
      <w:r w:rsidR="0071275A">
        <w:rPr>
          <w:rFonts w:ascii="Times New Roman" w:hAnsi="Times New Roman"/>
          <w:b/>
          <w:bCs/>
          <w:color w:val="000000"/>
          <w:lang w:eastAsia="fr-FR"/>
        </w:rPr>
        <w:t>. Il est à noter que l’indice des prix mensuel est stable en Martinique et à Mayotte</w:t>
      </w:r>
      <w:r w:rsidR="009E7390">
        <w:rPr>
          <w:rFonts w:ascii="Times New Roman" w:hAnsi="Times New Roman"/>
          <w:b/>
          <w:bCs/>
          <w:color w:val="000000"/>
          <w:lang w:eastAsia="fr-FR"/>
        </w:rPr>
        <w:t xml:space="preserve"> (- 0,1 </w:t>
      </w:r>
      <w:r w:rsidR="00145C39">
        <w:rPr>
          <w:rFonts w:ascii="Times New Roman" w:hAnsi="Times New Roman"/>
          <w:b/>
          <w:bCs/>
          <w:color w:val="000000"/>
          <w:lang w:eastAsia="fr-FR"/>
        </w:rPr>
        <w:t>%)</w:t>
      </w:r>
      <w:r w:rsidR="0071275A">
        <w:rPr>
          <w:rFonts w:ascii="Times New Roman" w:hAnsi="Times New Roman"/>
          <w:b/>
          <w:bCs/>
          <w:color w:val="000000"/>
          <w:lang w:eastAsia="fr-FR"/>
        </w:rPr>
        <w:t xml:space="preserve">, et </w:t>
      </w:r>
      <w:r w:rsidR="00145C39">
        <w:rPr>
          <w:rFonts w:ascii="Times New Roman" w:hAnsi="Times New Roman"/>
          <w:b/>
          <w:bCs/>
          <w:color w:val="000000"/>
          <w:lang w:eastAsia="fr-FR"/>
        </w:rPr>
        <w:t xml:space="preserve">a </w:t>
      </w:r>
      <w:r w:rsidR="0071275A">
        <w:rPr>
          <w:rFonts w:ascii="Times New Roman" w:hAnsi="Times New Roman"/>
          <w:b/>
          <w:bCs/>
          <w:color w:val="000000"/>
          <w:lang w:eastAsia="fr-FR"/>
        </w:rPr>
        <w:t xml:space="preserve">peu augmenté en rythme annuel dans ces </w:t>
      </w:r>
      <w:r w:rsidR="00145C39">
        <w:rPr>
          <w:rFonts w:ascii="Times New Roman" w:hAnsi="Times New Roman"/>
          <w:b/>
          <w:bCs/>
          <w:color w:val="000000"/>
          <w:lang w:eastAsia="fr-FR"/>
        </w:rPr>
        <w:t xml:space="preserve">mêmes </w:t>
      </w:r>
      <w:r w:rsidR="0071275A">
        <w:rPr>
          <w:rFonts w:ascii="Times New Roman" w:hAnsi="Times New Roman"/>
          <w:b/>
          <w:bCs/>
          <w:color w:val="000000"/>
          <w:lang w:eastAsia="fr-FR"/>
        </w:rPr>
        <w:t>départements. Sur un an les prix da</w:t>
      </w:r>
      <w:r w:rsidR="009E7390">
        <w:rPr>
          <w:rFonts w:ascii="Times New Roman" w:hAnsi="Times New Roman"/>
          <w:b/>
          <w:bCs/>
          <w:color w:val="000000"/>
          <w:lang w:eastAsia="fr-FR"/>
        </w:rPr>
        <w:t>ns les DOM (+ 1,3 </w:t>
      </w:r>
      <w:r w:rsidR="0071275A">
        <w:rPr>
          <w:rFonts w:ascii="Times New Roman" w:hAnsi="Times New Roman"/>
          <w:b/>
          <w:bCs/>
          <w:color w:val="000000"/>
          <w:lang w:eastAsia="fr-FR"/>
        </w:rPr>
        <w:t>%) ont augmenté mo</w:t>
      </w:r>
      <w:r w:rsidR="009E7390">
        <w:rPr>
          <w:rFonts w:ascii="Times New Roman" w:hAnsi="Times New Roman"/>
          <w:b/>
          <w:bCs/>
          <w:color w:val="000000"/>
          <w:lang w:eastAsia="fr-FR"/>
        </w:rPr>
        <w:t>ins vite qu’en métropole (+ 1,6 </w:t>
      </w:r>
      <w:r w:rsidR="0071275A">
        <w:rPr>
          <w:rFonts w:ascii="Times New Roman" w:hAnsi="Times New Roman"/>
          <w:b/>
          <w:bCs/>
          <w:color w:val="000000"/>
          <w:lang w:eastAsia="fr-FR"/>
        </w:rPr>
        <w:t>%).</w:t>
      </w:r>
    </w:p>
    <w:p w14:paraId="4FE2B41A" w14:textId="77777777" w:rsidR="003F36BA" w:rsidRDefault="003F36BA" w:rsidP="003F36BA">
      <w:pPr>
        <w:spacing w:after="0" w:line="240" w:lineRule="auto"/>
        <w:rPr>
          <w:rFonts w:ascii="Times New Roman" w:hAnsi="Times New Roman"/>
          <w:sz w:val="16"/>
          <w:szCs w:val="16"/>
          <w:lang w:eastAsia="fr-FR"/>
        </w:rPr>
      </w:pPr>
    </w:p>
    <w:p w14:paraId="47243711" w14:textId="77777777" w:rsidR="003F36BA" w:rsidRDefault="003F36BA" w:rsidP="003F36BA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lang w:eastAsia="fr-FR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fr-FR"/>
        </w:rPr>
        <w:t>1) Évolution de l’indice des prix à la consommation de l’ensemble des biens et services :</w:t>
      </w:r>
    </w:p>
    <w:p w14:paraId="5361570C" w14:textId="77777777" w:rsidR="003F36BA" w:rsidRDefault="003F36BA" w:rsidP="003F36BA">
      <w:pPr>
        <w:spacing w:after="0" w:line="240" w:lineRule="auto"/>
        <w:rPr>
          <w:rFonts w:ascii="Times New Roman" w:hAnsi="Times New Roman"/>
          <w:color w:val="002060"/>
          <w:sz w:val="16"/>
          <w:szCs w:val="16"/>
          <w:lang w:eastAsia="fr-FR"/>
        </w:rPr>
      </w:pPr>
    </w:p>
    <w:p w14:paraId="58555953" w14:textId="77777777" w:rsidR="003F36BA" w:rsidRDefault="003F36BA" w:rsidP="003F36BA">
      <w:pPr>
        <w:spacing w:after="0" w:line="240" w:lineRule="auto"/>
        <w:rPr>
          <w:rFonts w:ascii="Times New Roman" w:hAnsi="Times New Roman"/>
          <w:b/>
          <w:i/>
          <w:color w:val="002060"/>
          <w:lang w:eastAsia="fr-FR"/>
        </w:rPr>
      </w:pPr>
      <w:r>
        <w:rPr>
          <w:rFonts w:ascii="Times New Roman" w:hAnsi="Times New Roman"/>
          <w:b/>
          <w:i/>
          <w:color w:val="002060"/>
          <w:lang w:eastAsia="fr-FR"/>
        </w:rPr>
        <w:t>Sur un mois 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295"/>
        <w:gridCol w:w="883"/>
        <w:gridCol w:w="1194"/>
        <w:gridCol w:w="1325"/>
        <w:gridCol w:w="927"/>
        <w:gridCol w:w="1005"/>
        <w:gridCol w:w="1472"/>
      </w:tblGrid>
      <w:tr w:rsidR="003F36BA" w14:paraId="2ECB00D8" w14:textId="77777777" w:rsidTr="000447FF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A98E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En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595B5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D3AE2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8F34C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Martinique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AACEA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La Réunion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483B9D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Mayotte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3CF21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Moyenne pondérée DOM *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D756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3F36BA" w14:paraId="488CB75A" w14:textId="77777777" w:rsidTr="000447FF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2906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Ensemble des biens et services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E9AC1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3B435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523C8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-0,1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A70EB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09AC93A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-0,1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69874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6093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</w:t>
            </w:r>
            <w:r w:rsidR="00262F40"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,0</w:t>
            </w:r>
          </w:p>
        </w:tc>
      </w:tr>
      <w:tr w:rsidR="003F36BA" w14:paraId="3A6A1132" w14:textId="77777777" w:rsidTr="000447FF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CA44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72FD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170C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79C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E3C1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1732E9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0,2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8FFA5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1F1A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0,6</w:t>
            </w:r>
          </w:p>
        </w:tc>
      </w:tr>
      <w:tr w:rsidR="003F36BA" w14:paraId="4A01D8BA" w14:textId="77777777" w:rsidTr="000447FF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829C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Produits manufacturés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4D2C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B29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9621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5FB5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37600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-0,4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2B047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1D7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-0,2</w:t>
            </w:r>
          </w:p>
        </w:tc>
      </w:tr>
      <w:tr w:rsidR="003F36BA" w14:paraId="3EB9CE6F" w14:textId="77777777" w:rsidTr="000447FF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34B5" w14:textId="77777777" w:rsidR="003F36BA" w:rsidRDefault="00C709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E</w:t>
            </w:r>
            <w:r w:rsidR="003F36BA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nergie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D521" w14:textId="77777777" w:rsidR="003F36BA" w:rsidRPr="000F6D71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-5,5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1080" w14:textId="77777777" w:rsidR="003F36BA" w:rsidRPr="000F6D71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0393" w14:textId="77777777" w:rsidR="003F36BA" w:rsidRPr="000F6D71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-5,8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8A8" w14:textId="77777777" w:rsidR="003F36BA" w:rsidRPr="000F6D71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84F17" w14:textId="77777777" w:rsidR="003F36BA" w:rsidRPr="000F6D71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-3,5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F324C" w14:textId="77777777" w:rsidR="003F36BA" w:rsidRPr="000F6D71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-5,3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5AB6" w14:textId="77777777" w:rsidR="003F36BA" w:rsidRPr="000F6D71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-2,4</w:t>
            </w:r>
          </w:p>
        </w:tc>
      </w:tr>
      <w:tr w:rsidR="003F36BA" w14:paraId="56FF8A2D" w14:textId="77777777" w:rsidTr="000447FF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5BC0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Services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65F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0402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8032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ABDE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E85C35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6410F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B430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0,4</w:t>
            </w:r>
          </w:p>
        </w:tc>
      </w:tr>
    </w:tbl>
    <w:p w14:paraId="2464BA30" w14:textId="77777777" w:rsidR="003F36BA" w:rsidRDefault="003F36BA" w:rsidP="003F36BA">
      <w:pPr>
        <w:spacing w:after="0" w:line="240" w:lineRule="auto"/>
        <w:rPr>
          <w:rFonts w:ascii="Times New Roman" w:hAnsi="Times New Roman"/>
          <w:i/>
          <w:sz w:val="18"/>
          <w:szCs w:val="18"/>
          <w:lang w:eastAsia="fr-FR"/>
        </w:rPr>
      </w:pPr>
      <w:r>
        <w:rPr>
          <w:rFonts w:ascii="Times New Roman" w:hAnsi="Times New Roman"/>
          <w:i/>
          <w:sz w:val="18"/>
          <w:szCs w:val="18"/>
          <w:lang w:eastAsia="fr-FR"/>
        </w:rPr>
        <w:t>Source : Insee</w:t>
      </w:r>
    </w:p>
    <w:p w14:paraId="4747951C" w14:textId="77777777" w:rsidR="00DC2C0C" w:rsidRDefault="00DC2C0C" w:rsidP="003F36BA">
      <w:pPr>
        <w:spacing w:after="0" w:line="240" w:lineRule="auto"/>
        <w:rPr>
          <w:rFonts w:ascii="Times New Roman" w:hAnsi="Times New Roman"/>
          <w:b/>
          <w:i/>
          <w:color w:val="002060"/>
          <w:lang w:eastAsia="fr-FR"/>
        </w:rPr>
      </w:pPr>
    </w:p>
    <w:p w14:paraId="20302C90" w14:textId="77777777" w:rsidR="003F36BA" w:rsidRDefault="00CA3889" w:rsidP="003F36BA">
      <w:pPr>
        <w:spacing w:after="0" w:line="240" w:lineRule="auto"/>
        <w:rPr>
          <w:rFonts w:ascii="Times New Roman" w:hAnsi="Times New Roman"/>
          <w:b/>
          <w:i/>
          <w:color w:val="002060"/>
          <w:lang w:eastAsia="fr-FR"/>
        </w:rPr>
      </w:pPr>
      <w:r>
        <w:rPr>
          <w:rFonts w:ascii="Times New Roman" w:hAnsi="Times New Roman"/>
          <w:b/>
          <w:i/>
          <w:color w:val="002060"/>
          <w:lang w:eastAsia="fr-FR"/>
        </w:rPr>
        <w:t>Sur un an 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295"/>
        <w:gridCol w:w="883"/>
        <w:gridCol w:w="1194"/>
        <w:gridCol w:w="1325"/>
        <w:gridCol w:w="927"/>
        <w:gridCol w:w="1005"/>
        <w:gridCol w:w="1472"/>
      </w:tblGrid>
      <w:tr w:rsidR="003F36BA" w14:paraId="00AD0C72" w14:textId="77777777" w:rsidTr="003F36BA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5E89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En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9FE3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9384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16CF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Martinique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AD3C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La Réunion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78ACD0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Mayotte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957C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Moyenne pondérée DOM *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7B6F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3F36BA" w14:paraId="4AD780A9" w14:textId="77777777" w:rsidTr="00A74D05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30F5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Ensemble des biens et services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9DBAF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D7BC9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2C0D9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D1980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A82714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0,4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01378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96F8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1,6</w:t>
            </w:r>
          </w:p>
        </w:tc>
      </w:tr>
      <w:tr w:rsidR="003F36BA" w14:paraId="54D15D33" w14:textId="77777777" w:rsidTr="000E3FE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1B2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C62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129D2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3EA0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31BB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2,8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818FDA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2,9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86B85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B88A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2,6</w:t>
            </w:r>
          </w:p>
        </w:tc>
      </w:tr>
      <w:tr w:rsidR="003F36BA" w14:paraId="4950CBF2" w14:textId="77777777" w:rsidTr="000E3FE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49E9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Produits manufacturés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6E6D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20BF6" w14:textId="77777777" w:rsidR="003F36BA" w:rsidRPr="000F6D71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-0,9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B754" w14:textId="77777777" w:rsidR="003F36BA" w:rsidRPr="000F6D71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-0,2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EFD" w14:textId="77777777" w:rsidR="003F36BA" w:rsidRPr="000F6D71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-0,4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CF1ED" w14:textId="77777777" w:rsidR="003F36BA" w:rsidRPr="000F6D71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-4,9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9C58B" w14:textId="77777777" w:rsidR="003F36BA" w:rsidRPr="000F6D71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-0,1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6B64" w14:textId="77777777" w:rsidR="003F36BA" w:rsidRPr="000F6D71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-0,6</w:t>
            </w:r>
          </w:p>
        </w:tc>
      </w:tr>
      <w:tr w:rsidR="003F36BA" w14:paraId="37342333" w14:textId="77777777" w:rsidTr="000E3FE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DCFA" w14:textId="77777777" w:rsidR="003F36BA" w:rsidRDefault="00C709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E</w:t>
            </w:r>
            <w:r w:rsidR="003F36BA"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nergie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965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A9B16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43FB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560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6,8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E2D866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2,3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4A78E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3,8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DF02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8,1</w:t>
            </w:r>
          </w:p>
        </w:tc>
      </w:tr>
      <w:tr w:rsidR="003F36BA" w14:paraId="3AAB16F9" w14:textId="77777777" w:rsidTr="000E3FE1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1C57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Services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1403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7B233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2CA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9511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8842B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2,2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33B0B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CB2C" w14:textId="77777777" w:rsidR="003F36BA" w:rsidRPr="008E383D" w:rsidRDefault="00BF5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0,9</w:t>
            </w:r>
          </w:p>
        </w:tc>
      </w:tr>
    </w:tbl>
    <w:p w14:paraId="509D2CF1" w14:textId="77777777" w:rsidR="003F36BA" w:rsidRDefault="003F36BA" w:rsidP="003F36BA">
      <w:pPr>
        <w:spacing w:after="0" w:line="240" w:lineRule="auto"/>
        <w:rPr>
          <w:rFonts w:ascii="Times New Roman" w:hAnsi="Times New Roman"/>
          <w:i/>
          <w:sz w:val="18"/>
          <w:szCs w:val="18"/>
          <w:lang w:eastAsia="fr-FR"/>
        </w:rPr>
      </w:pPr>
      <w:r>
        <w:rPr>
          <w:rFonts w:ascii="Times New Roman" w:hAnsi="Times New Roman"/>
          <w:i/>
          <w:sz w:val="18"/>
          <w:szCs w:val="18"/>
          <w:lang w:eastAsia="fr-FR"/>
        </w:rPr>
        <w:t>Source : Insee</w:t>
      </w:r>
    </w:p>
    <w:p w14:paraId="38D1F544" w14:textId="77777777" w:rsidR="003F36BA" w:rsidRPr="00CA637A" w:rsidRDefault="003F36BA" w:rsidP="003F36BA">
      <w:pPr>
        <w:spacing w:after="0" w:line="240" w:lineRule="auto"/>
        <w:jc w:val="both"/>
        <w:rPr>
          <w:rFonts w:ascii="Times New Roman" w:hAnsi="Times New Roman"/>
          <w:color w:val="002060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CA637A">
        <w:rPr>
          <w:rFonts w:ascii="Times New Roman" w:hAnsi="Times New Roman"/>
          <w:color w:val="002060"/>
          <w:sz w:val="20"/>
          <w:szCs w:val="20"/>
          <w:lang w:eastAsia="fr-FR"/>
        </w:rPr>
        <w:t>[* La moyenne pondérée DOM est établie à partir des éléments comptables de la consommation des ménag</w:t>
      </w:r>
      <w:r w:rsidR="00B23AF8">
        <w:rPr>
          <w:rFonts w:ascii="Times New Roman" w:hAnsi="Times New Roman"/>
          <w:color w:val="002060"/>
          <w:sz w:val="20"/>
          <w:szCs w:val="20"/>
          <w:lang w:eastAsia="fr-FR"/>
        </w:rPr>
        <w:t>es de l’année N-2 (éléments 2017 pour 2019</w:t>
      </w:r>
      <w:r w:rsidRPr="00CA637A">
        <w:rPr>
          <w:rFonts w:ascii="Times New Roman" w:hAnsi="Times New Roman"/>
          <w:color w:val="002060"/>
          <w:sz w:val="20"/>
          <w:szCs w:val="20"/>
          <w:lang w:eastAsia="fr-FR"/>
        </w:rPr>
        <w:t>). La pondération est établie en valeur pour chaque catégorie, c’est-à-dire à partir des volumes et prix de la consommation des ménages.</w:t>
      </w:r>
    </w:p>
    <w:p w14:paraId="69BAF1C4" w14:textId="77777777" w:rsidR="003F36BA" w:rsidRPr="00CA637A" w:rsidRDefault="003F36BA" w:rsidP="003C7E6E">
      <w:pPr>
        <w:spacing w:after="120" w:line="240" w:lineRule="auto"/>
        <w:jc w:val="both"/>
        <w:rPr>
          <w:rFonts w:ascii="Times New Roman" w:hAnsi="Times New Roman"/>
          <w:color w:val="002060"/>
          <w:sz w:val="20"/>
          <w:szCs w:val="20"/>
          <w:lang w:eastAsia="fr-FR"/>
        </w:rPr>
      </w:pPr>
      <w:r w:rsidRPr="00CA637A">
        <w:rPr>
          <w:rFonts w:ascii="Times New Roman" w:hAnsi="Times New Roman"/>
          <w:color w:val="002060"/>
          <w:sz w:val="20"/>
          <w:szCs w:val="20"/>
          <w:lang w:eastAsia="fr-FR"/>
        </w:rPr>
        <w:t>Exemple de pondération pour l’ensemble des biens et services :</w:t>
      </w:r>
    </w:p>
    <w:p w14:paraId="43D9D1A8" w14:textId="77777777" w:rsidR="003F36BA" w:rsidRPr="00CA637A" w:rsidRDefault="003F36BA" w:rsidP="003F36BA">
      <w:pPr>
        <w:spacing w:after="0" w:line="240" w:lineRule="auto"/>
        <w:jc w:val="center"/>
        <w:rPr>
          <w:rFonts w:ascii="Times New Roman" w:hAnsi="Times New Roman"/>
          <w:color w:val="002060"/>
          <w:sz w:val="20"/>
          <w:szCs w:val="20"/>
          <w:lang w:eastAsia="fr-FR"/>
        </w:rPr>
      </w:pPr>
      <w:r w:rsidRPr="00CA637A">
        <w:rPr>
          <w:noProof/>
          <w:color w:val="002060"/>
          <w:lang w:eastAsia="fr-F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D3E6CA2" wp14:editId="5EDA72CB">
                <wp:simplePos x="0" y="0"/>
                <wp:positionH relativeFrom="column">
                  <wp:posOffset>377825</wp:posOffset>
                </wp:positionH>
                <wp:positionV relativeFrom="paragraph">
                  <wp:posOffset>342264</wp:posOffset>
                </wp:positionV>
                <wp:extent cx="4977765" cy="0"/>
                <wp:effectExtent l="0" t="0" r="3238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7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CB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9.75pt;margin-top:26.95pt;width:391.9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" strokecolor="#7f7f7f"/>
            </w:pict>
          </mc:Fallback>
        </mc:AlternateContent>
      </w:r>
      <w:r w:rsidRPr="00CA637A">
        <w:rPr>
          <w:rFonts w:ascii="Times New Roman" w:hAnsi="Times New Roman"/>
          <w:noProof/>
          <w:color w:val="002060"/>
          <w:sz w:val="24"/>
          <w:szCs w:val="24"/>
          <w:lang w:eastAsia="fr-FR"/>
        </w:rPr>
        <w:drawing>
          <wp:inline distT="0" distB="0" distL="0" distR="0" wp14:anchorId="7D72BDF8" wp14:editId="35EEC656">
            <wp:extent cx="5762625" cy="3556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1288"/>
                    <a:stretch/>
                  </pic:blipFill>
                  <pic:spPr bwMode="auto">
                    <a:xfrm>
                      <a:off x="0" y="0"/>
                      <a:ext cx="57626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CF1A0" w14:textId="77777777" w:rsidR="003F36BA" w:rsidRPr="00CA637A" w:rsidRDefault="003F36BA" w:rsidP="003F36BA">
      <w:pPr>
        <w:spacing w:after="0" w:line="240" w:lineRule="auto"/>
        <w:jc w:val="both"/>
        <w:rPr>
          <w:rFonts w:ascii="Times New Roman" w:hAnsi="Times New Roman"/>
          <w:color w:val="002060"/>
          <w:sz w:val="20"/>
          <w:szCs w:val="20"/>
          <w:lang w:eastAsia="fr-FR"/>
        </w:rPr>
      </w:pPr>
      <w:r w:rsidRPr="00CA637A">
        <w:rPr>
          <w:rFonts w:ascii="Times New Roman" w:hAnsi="Times New Roman"/>
          <w:color w:val="002060"/>
          <w:sz w:val="20"/>
          <w:szCs w:val="20"/>
          <w:lang w:eastAsia="fr-FR"/>
        </w:rPr>
        <w:t>A noter : Mayotte n’est pas incluse actuellement dans le calcul des indices des prix à la consommation nationaux, son intégration par l’Insee n’est pas prévue à court terme.]</w:t>
      </w:r>
    </w:p>
    <w:p w14:paraId="20DE4791" w14:textId="77777777" w:rsidR="00DC2C0C" w:rsidRDefault="00DC2C0C" w:rsidP="009160B3">
      <w:pPr>
        <w:spacing w:after="60" w:line="240" w:lineRule="auto"/>
        <w:jc w:val="both"/>
        <w:rPr>
          <w:rFonts w:ascii="Times New Roman" w:hAnsi="Times New Roman"/>
          <w:color w:val="000000"/>
          <w:lang w:eastAsia="fr-FR"/>
        </w:rPr>
      </w:pPr>
    </w:p>
    <w:p w14:paraId="0A6C413F" w14:textId="77777777" w:rsidR="000767F5" w:rsidRDefault="00DC2C0C" w:rsidP="009160B3">
      <w:pPr>
        <w:spacing w:after="60" w:line="240" w:lineRule="auto"/>
        <w:jc w:val="both"/>
        <w:rPr>
          <w:rFonts w:ascii="Times New Roman" w:hAnsi="Times New Roman"/>
          <w:color w:val="000000"/>
          <w:lang w:eastAsia="fr-FR"/>
        </w:rPr>
      </w:pPr>
      <w:r>
        <w:rPr>
          <w:rFonts w:ascii="Times New Roman" w:hAnsi="Times New Roman"/>
          <w:color w:val="000000"/>
          <w:lang w:eastAsia="fr-FR"/>
        </w:rPr>
        <w:br w:type="column"/>
      </w:r>
      <w:r w:rsidR="003F36BA">
        <w:rPr>
          <w:rFonts w:ascii="Times New Roman" w:hAnsi="Times New Roman"/>
          <w:color w:val="000000"/>
          <w:lang w:eastAsia="fr-FR"/>
        </w:rPr>
        <w:lastRenderedPageBreak/>
        <w:t xml:space="preserve">En </w:t>
      </w:r>
      <w:r w:rsidR="003F36BA">
        <w:rPr>
          <w:rFonts w:ascii="Times New Roman" w:hAnsi="Times New Roman"/>
          <w:b/>
          <w:color w:val="000000"/>
          <w:lang w:eastAsia="fr-FR"/>
        </w:rPr>
        <w:t>Guadeloupe</w:t>
      </w:r>
      <w:r w:rsidR="005733BF">
        <w:rPr>
          <w:rFonts w:ascii="Times New Roman" w:hAnsi="Times New Roman"/>
          <w:b/>
          <w:color w:val="000000"/>
          <w:lang w:eastAsia="fr-FR"/>
        </w:rPr>
        <w:t xml:space="preserve"> </w:t>
      </w:r>
      <w:r w:rsidR="005733BF" w:rsidRPr="005733BF">
        <w:rPr>
          <w:rFonts w:ascii="Times New Roman" w:hAnsi="Times New Roman"/>
          <w:color w:val="000000"/>
          <w:lang w:eastAsia="fr-FR"/>
        </w:rPr>
        <w:t>en</w:t>
      </w:r>
      <w:r w:rsidR="003737D1">
        <w:rPr>
          <w:rFonts w:ascii="Times New Roman" w:hAnsi="Times New Roman"/>
          <w:color w:val="000000"/>
          <w:lang w:eastAsia="fr-FR"/>
        </w:rPr>
        <w:t xml:space="preserve"> </w:t>
      </w:r>
      <w:r w:rsidR="00023EA9">
        <w:rPr>
          <w:rFonts w:ascii="Times New Roman" w:hAnsi="Times New Roman"/>
          <w:color w:val="000000"/>
          <w:lang w:eastAsia="fr-FR"/>
        </w:rPr>
        <w:t>déc</w:t>
      </w:r>
      <w:r w:rsidR="002E0620">
        <w:rPr>
          <w:rFonts w:ascii="Times New Roman" w:hAnsi="Times New Roman"/>
          <w:color w:val="000000"/>
          <w:lang w:eastAsia="fr-FR"/>
        </w:rPr>
        <w:t xml:space="preserve">embre </w:t>
      </w:r>
      <w:r w:rsidR="00512163">
        <w:rPr>
          <w:rFonts w:ascii="Times New Roman" w:hAnsi="Times New Roman"/>
          <w:color w:val="000000"/>
          <w:lang w:eastAsia="fr-FR"/>
        </w:rPr>
        <w:t xml:space="preserve">les prix à la consommation continuent leur progression (+ 0,7 %). Cette croissance résulte de la hausse des prix de l’alimentation (+ 0,4 %), </w:t>
      </w:r>
      <w:r w:rsidR="00A70E52">
        <w:rPr>
          <w:rFonts w:ascii="Times New Roman" w:hAnsi="Times New Roman"/>
          <w:color w:val="000000"/>
          <w:lang w:eastAsia="fr-FR"/>
        </w:rPr>
        <w:t>des produits manufacturés (+ 1,9 </w:t>
      </w:r>
      <w:r w:rsidR="00512163">
        <w:rPr>
          <w:rFonts w:ascii="Times New Roman" w:hAnsi="Times New Roman"/>
          <w:color w:val="000000"/>
          <w:lang w:eastAsia="fr-FR"/>
        </w:rPr>
        <w:t xml:space="preserve"> %) et des services (+ 0,9 %), ainsi que de la baisse des prix de l’énergie de 5,5 %. </w:t>
      </w:r>
      <w:r w:rsidR="00A70E52">
        <w:rPr>
          <w:rFonts w:ascii="Times New Roman" w:hAnsi="Times New Roman"/>
          <w:color w:val="000000"/>
          <w:lang w:eastAsia="fr-FR"/>
        </w:rPr>
        <w:t>Sur un an, les prix augmentent de 0,8 %.</w:t>
      </w:r>
    </w:p>
    <w:p w14:paraId="760FD0DF" w14:textId="77777777" w:rsidR="009C189A" w:rsidRDefault="00401DB8" w:rsidP="009160B3">
      <w:pPr>
        <w:spacing w:after="60" w:line="240" w:lineRule="auto"/>
        <w:jc w:val="both"/>
        <w:rPr>
          <w:rFonts w:ascii="Times New Roman" w:hAnsi="Times New Roman"/>
          <w:color w:val="000000"/>
          <w:lang w:eastAsia="fr-FR"/>
        </w:rPr>
      </w:pPr>
      <w:r>
        <w:rPr>
          <w:rFonts w:ascii="Times New Roman" w:hAnsi="Times New Roman"/>
          <w:color w:val="000000"/>
          <w:lang w:eastAsia="fr-FR"/>
        </w:rPr>
        <w:t xml:space="preserve">En </w:t>
      </w:r>
      <w:r w:rsidRPr="00401DB8">
        <w:rPr>
          <w:rFonts w:ascii="Times New Roman" w:hAnsi="Times New Roman"/>
          <w:b/>
          <w:color w:val="000000"/>
          <w:lang w:eastAsia="fr-FR"/>
        </w:rPr>
        <w:t>Guyane</w:t>
      </w:r>
      <w:r>
        <w:rPr>
          <w:rFonts w:ascii="Times New Roman" w:hAnsi="Times New Roman"/>
          <w:color w:val="000000"/>
          <w:lang w:eastAsia="fr-FR"/>
        </w:rPr>
        <w:t xml:space="preserve"> </w:t>
      </w:r>
      <w:r w:rsidR="003810F6">
        <w:rPr>
          <w:rFonts w:ascii="Times New Roman" w:hAnsi="Times New Roman"/>
          <w:color w:val="000000"/>
          <w:lang w:eastAsia="fr-FR"/>
        </w:rPr>
        <w:t>en</w:t>
      </w:r>
      <w:r w:rsidR="00023EA9">
        <w:rPr>
          <w:rFonts w:ascii="Times New Roman" w:hAnsi="Times New Roman"/>
          <w:color w:val="000000"/>
          <w:lang w:eastAsia="fr-FR"/>
        </w:rPr>
        <w:t xml:space="preserve"> déc</w:t>
      </w:r>
      <w:r w:rsidR="00842BD8">
        <w:rPr>
          <w:rFonts w:ascii="Times New Roman" w:hAnsi="Times New Roman"/>
          <w:color w:val="000000"/>
          <w:lang w:eastAsia="fr-FR"/>
        </w:rPr>
        <w:t>embr</w:t>
      </w:r>
      <w:r w:rsidR="00C9388F">
        <w:rPr>
          <w:rFonts w:ascii="Times New Roman" w:hAnsi="Times New Roman"/>
          <w:color w:val="000000"/>
          <w:lang w:eastAsia="fr-FR"/>
        </w:rPr>
        <w:t>e</w:t>
      </w:r>
      <w:r w:rsidR="00A70E52">
        <w:rPr>
          <w:rFonts w:ascii="Times New Roman" w:hAnsi="Times New Roman"/>
          <w:color w:val="000000"/>
          <w:lang w:eastAsia="fr-FR"/>
        </w:rPr>
        <w:t xml:space="preserve"> l’indice des prix à la consommation croît de 0,5 %. Tous les postes, à l’exception de l’énergie</w:t>
      </w:r>
      <w:r w:rsidR="00346028">
        <w:rPr>
          <w:rFonts w:ascii="Times New Roman" w:hAnsi="Times New Roman"/>
          <w:color w:val="000000"/>
          <w:lang w:eastAsia="fr-FR"/>
        </w:rPr>
        <w:t xml:space="preserve"> (- 4,9 %)</w:t>
      </w:r>
      <w:r w:rsidR="00A70E52">
        <w:rPr>
          <w:rFonts w:ascii="Times New Roman" w:hAnsi="Times New Roman"/>
          <w:color w:val="000000"/>
          <w:lang w:eastAsia="fr-FR"/>
        </w:rPr>
        <w:t>, contribuent à cette hausse.</w:t>
      </w:r>
      <w:r w:rsidR="00C9388F">
        <w:rPr>
          <w:rFonts w:ascii="Times New Roman" w:hAnsi="Times New Roman"/>
          <w:color w:val="000000"/>
          <w:lang w:eastAsia="fr-FR"/>
        </w:rPr>
        <w:t xml:space="preserve"> </w:t>
      </w:r>
      <w:r w:rsidR="00B37EBA">
        <w:rPr>
          <w:rFonts w:ascii="Times New Roman" w:hAnsi="Times New Roman"/>
          <w:color w:val="000000"/>
          <w:lang w:eastAsia="fr-FR"/>
        </w:rPr>
        <w:t xml:space="preserve">Sur un an les prix progressent de </w:t>
      </w:r>
      <w:r w:rsidR="00A70E52">
        <w:rPr>
          <w:rFonts w:ascii="Times New Roman" w:hAnsi="Times New Roman"/>
          <w:color w:val="000000"/>
          <w:lang w:eastAsia="fr-FR"/>
        </w:rPr>
        <w:t>0,7</w:t>
      </w:r>
      <w:r w:rsidR="003F41F1">
        <w:rPr>
          <w:rFonts w:ascii="Times New Roman" w:hAnsi="Times New Roman"/>
          <w:color w:val="000000"/>
          <w:lang w:eastAsia="fr-FR"/>
        </w:rPr>
        <w:t xml:space="preserve"> </w:t>
      </w:r>
      <w:r w:rsidR="00B37EBA">
        <w:rPr>
          <w:rFonts w:ascii="Times New Roman" w:hAnsi="Times New Roman"/>
          <w:color w:val="000000"/>
          <w:lang w:eastAsia="fr-FR"/>
        </w:rPr>
        <w:t>%.</w:t>
      </w:r>
    </w:p>
    <w:p w14:paraId="57CCE3AF" w14:textId="77777777" w:rsidR="009C189A" w:rsidRDefault="003F36BA" w:rsidP="009160B3">
      <w:pPr>
        <w:spacing w:after="60" w:line="240" w:lineRule="auto"/>
        <w:jc w:val="both"/>
        <w:rPr>
          <w:rFonts w:ascii="Times New Roman" w:hAnsi="Times New Roman"/>
          <w:color w:val="000000"/>
          <w:lang w:eastAsia="fr-FR"/>
        </w:rPr>
      </w:pPr>
      <w:r>
        <w:rPr>
          <w:rFonts w:ascii="Times New Roman" w:hAnsi="Times New Roman"/>
          <w:color w:val="000000"/>
          <w:lang w:eastAsia="fr-FR"/>
        </w:rPr>
        <w:t xml:space="preserve">En </w:t>
      </w:r>
      <w:r>
        <w:rPr>
          <w:rFonts w:ascii="Times New Roman" w:hAnsi="Times New Roman"/>
          <w:b/>
          <w:color w:val="000000"/>
          <w:lang w:eastAsia="fr-FR"/>
        </w:rPr>
        <w:t>Martinique</w:t>
      </w:r>
      <w:r>
        <w:rPr>
          <w:rFonts w:ascii="Times New Roman" w:hAnsi="Times New Roman"/>
          <w:color w:val="000000"/>
          <w:lang w:eastAsia="fr-FR"/>
        </w:rPr>
        <w:t xml:space="preserve"> </w:t>
      </w:r>
      <w:r w:rsidR="003810F6">
        <w:rPr>
          <w:rFonts w:ascii="Times New Roman" w:hAnsi="Times New Roman"/>
          <w:color w:val="000000"/>
          <w:lang w:eastAsia="fr-FR"/>
        </w:rPr>
        <w:t>en</w:t>
      </w:r>
      <w:r w:rsidR="00023EA9">
        <w:rPr>
          <w:rFonts w:ascii="Times New Roman" w:hAnsi="Times New Roman"/>
          <w:color w:val="000000"/>
          <w:lang w:eastAsia="fr-FR"/>
        </w:rPr>
        <w:t xml:space="preserve"> déc</w:t>
      </w:r>
      <w:r w:rsidR="00B34AA1">
        <w:rPr>
          <w:rFonts w:ascii="Times New Roman" w:hAnsi="Times New Roman"/>
          <w:color w:val="000000"/>
          <w:lang w:eastAsia="fr-FR"/>
        </w:rPr>
        <w:t xml:space="preserve">embre </w:t>
      </w:r>
      <w:r w:rsidR="00A70E52">
        <w:rPr>
          <w:rFonts w:ascii="Times New Roman" w:hAnsi="Times New Roman"/>
          <w:color w:val="000000"/>
          <w:lang w:eastAsia="fr-FR"/>
        </w:rPr>
        <w:t>les prix à la consommation restent relativement stables (- 0,1 %). L</w:t>
      </w:r>
      <w:r w:rsidR="00B23AF8">
        <w:rPr>
          <w:rFonts w:ascii="Times New Roman" w:hAnsi="Times New Roman"/>
          <w:color w:val="000000"/>
          <w:lang w:eastAsia="fr-FR"/>
        </w:rPr>
        <w:t>es hausses dans les services de transport</w:t>
      </w:r>
      <w:r w:rsidR="00A70E52">
        <w:rPr>
          <w:rFonts w:ascii="Times New Roman" w:hAnsi="Times New Roman"/>
          <w:color w:val="000000"/>
          <w:lang w:eastAsia="fr-FR"/>
        </w:rPr>
        <w:t xml:space="preserve"> (+ 22,5 %) et de l’alimentation (+ 0,5 %) sont compensées par des baisses de prix dans les secteurs de l’énergie</w:t>
      </w:r>
      <w:r w:rsidR="00346028">
        <w:rPr>
          <w:rFonts w:ascii="Times New Roman" w:hAnsi="Times New Roman"/>
          <w:color w:val="000000"/>
          <w:lang w:eastAsia="fr-FR"/>
        </w:rPr>
        <w:t xml:space="preserve"> (- 5,8 %)</w:t>
      </w:r>
      <w:r w:rsidR="00A70E52">
        <w:rPr>
          <w:rFonts w:ascii="Times New Roman" w:hAnsi="Times New Roman"/>
          <w:color w:val="000000"/>
          <w:lang w:eastAsia="fr-FR"/>
        </w:rPr>
        <w:t xml:space="preserve">, de l’habillement et des services de santé. </w:t>
      </w:r>
      <w:r w:rsidR="00B37EBA">
        <w:rPr>
          <w:rFonts w:ascii="Times New Roman" w:hAnsi="Times New Roman"/>
          <w:color w:val="000000"/>
          <w:lang w:eastAsia="fr-FR"/>
        </w:rPr>
        <w:t>Sur un an, les prix augmentent de</w:t>
      </w:r>
      <w:r w:rsidR="00C9388F">
        <w:rPr>
          <w:rFonts w:ascii="Times New Roman" w:hAnsi="Times New Roman"/>
          <w:color w:val="000000"/>
          <w:lang w:eastAsia="fr-FR"/>
        </w:rPr>
        <w:t xml:space="preserve"> </w:t>
      </w:r>
      <w:r w:rsidR="00A70E52">
        <w:rPr>
          <w:rFonts w:ascii="Times New Roman" w:hAnsi="Times New Roman"/>
          <w:color w:val="000000"/>
          <w:lang w:eastAsia="fr-FR"/>
        </w:rPr>
        <w:t xml:space="preserve">0,5 </w:t>
      </w:r>
      <w:r w:rsidR="00B37EBA">
        <w:rPr>
          <w:rFonts w:ascii="Times New Roman" w:hAnsi="Times New Roman"/>
          <w:color w:val="000000"/>
          <w:lang w:eastAsia="fr-FR"/>
        </w:rPr>
        <w:t>%.</w:t>
      </w:r>
    </w:p>
    <w:p w14:paraId="6A47A755" w14:textId="77777777" w:rsidR="000A492C" w:rsidRDefault="003F36BA" w:rsidP="009160B3">
      <w:pPr>
        <w:spacing w:after="60" w:line="240" w:lineRule="auto"/>
        <w:jc w:val="both"/>
        <w:rPr>
          <w:rFonts w:ascii="Times New Roman" w:hAnsi="Times New Roman"/>
          <w:color w:val="000000"/>
          <w:lang w:eastAsia="fr-FR"/>
        </w:rPr>
      </w:pPr>
      <w:r>
        <w:rPr>
          <w:rFonts w:ascii="Times New Roman" w:hAnsi="Times New Roman"/>
          <w:color w:val="000000"/>
          <w:lang w:eastAsia="fr-FR"/>
        </w:rPr>
        <w:t xml:space="preserve">A </w:t>
      </w:r>
      <w:r>
        <w:rPr>
          <w:rFonts w:ascii="Times New Roman" w:hAnsi="Times New Roman"/>
          <w:b/>
          <w:color w:val="000000"/>
          <w:lang w:eastAsia="fr-FR"/>
        </w:rPr>
        <w:t>La Réunion</w:t>
      </w:r>
      <w:r>
        <w:rPr>
          <w:rFonts w:ascii="Times New Roman" w:hAnsi="Times New Roman"/>
          <w:color w:val="000000"/>
          <w:lang w:eastAsia="fr-FR"/>
        </w:rPr>
        <w:t xml:space="preserve"> </w:t>
      </w:r>
      <w:r w:rsidR="003810F6">
        <w:rPr>
          <w:rFonts w:ascii="Times New Roman" w:hAnsi="Times New Roman"/>
          <w:color w:val="000000"/>
          <w:lang w:eastAsia="fr-FR"/>
        </w:rPr>
        <w:t>en</w:t>
      </w:r>
      <w:r w:rsidR="00023EA9">
        <w:rPr>
          <w:rFonts w:ascii="Times New Roman" w:hAnsi="Times New Roman"/>
          <w:color w:val="000000"/>
          <w:lang w:eastAsia="fr-FR"/>
        </w:rPr>
        <w:t xml:space="preserve"> déc</w:t>
      </w:r>
      <w:r w:rsidR="00EE4304">
        <w:rPr>
          <w:rFonts w:ascii="Times New Roman" w:hAnsi="Times New Roman"/>
          <w:color w:val="000000"/>
          <w:lang w:eastAsia="fr-FR"/>
        </w:rPr>
        <w:t>embre</w:t>
      </w:r>
      <w:r w:rsidR="00CD2F1C">
        <w:rPr>
          <w:rFonts w:ascii="Times New Roman" w:hAnsi="Times New Roman"/>
          <w:color w:val="000000"/>
          <w:lang w:eastAsia="fr-FR"/>
        </w:rPr>
        <w:t xml:space="preserve"> les prix à la consommation augmentent de 0,2 %. La hausse saisonnière des tarifs aériens s’accompagne d’une accélération </w:t>
      </w:r>
      <w:r w:rsidR="001C1381">
        <w:rPr>
          <w:rFonts w:ascii="Times New Roman" w:hAnsi="Times New Roman"/>
          <w:color w:val="000000"/>
          <w:lang w:eastAsia="fr-FR"/>
        </w:rPr>
        <w:t xml:space="preserve">de la hausse </w:t>
      </w:r>
      <w:r w:rsidR="00CD2F1C">
        <w:rPr>
          <w:rFonts w:ascii="Times New Roman" w:hAnsi="Times New Roman"/>
          <w:color w:val="000000"/>
          <w:lang w:eastAsia="fr-FR"/>
        </w:rPr>
        <w:t>des prix dans l’alimentaire faisant suite aux problèmes d’approvisionnement des points de vente en novembre. A l’inverse, les prix de l’énergie reculent fortement</w:t>
      </w:r>
      <w:r w:rsidR="001C1381">
        <w:rPr>
          <w:rFonts w:ascii="Times New Roman" w:hAnsi="Times New Roman"/>
          <w:color w:val="000000"/>
          <w:lang w:eastAsia="fr-FR"/>
        </w:rPr>
        <w:t xml:space="preserve"> (- </w:t>
      </w:r>
      <w:r w:rsidR="001C1381" w:rsidRPr="001C1381">
        <w:rPr>
          <w:rFonts w:ascii="Times New Roman" w:hAnsi="Times New Roman"/>
          <w:color w:val="000000"/>
          <w:lang w:eastAsia="fr-FR"/>
        </w:rPr>
        <w:t>5</w:t>
      </w:r>
      <w:r w:rsidR="001C1381">
        <w:rPr>
          <w:rFonts w:ascii="Times New Roman" w:hAnsi="Times New Roman"/>
          <w:color w:val="000000"/>
          <w:lang w:eastAsia="fr-FR"/>
        </w:rPr>
        <w:t> %)</w:t>
      </w:r>
      <w:r w:rsidR="00CD2F1C">
        <w:rPr>
          <w:rFonts w:ascii="Times New Roman" w:hAnsi="Times New Roman"/>
          <w:color w:val="000000"/>
          <w:lang w:eastAsia="fr-FR"/>
        </w:rPr>
        <w:t xml:space="preserve">. </w:t>
      </w:r>
      <w:r w:rsidR="00B37EBA">
        <w:rPr>
          <w:rFonts w:ascii="Times New Roman" w:hAnsi="Times New Roman"/>
          <w:color w:val="000000"/>
          <w:lang w:eastAsia="fr-FR"/>
        </w:rPr>
        <w:t xml:space="preserve">Sur un an, les prix à la consommation </w:t>
      </w:r>
      <w:r w:rsidR="0076225D">
        <w:rPr>
          <w:rFonts w:ascii="Times New Roman" w:hAnsi="Times New Roman"/>
          <w:color w:val="000000"/>
          <w:lang w:eastAsia="fr-FR"/>
        </w:rPr>
        <w:t>augmentent de</w:t>
      </w:r>
      <w:r w:rsidR="00813321">
        <w:rPr>
          <w:rFonts w:ascii="Times New Roman" w:hAnsi="Times New Roman"/>
          <w:color w:val="000000"/>
          <w:lang w:eastAsia="fr-FR"/>
        </w:rPr>
        <w:t xml:space="preserve"> </w:t>
      </w:r>
      <w:r w:rsidR="00CD2F1C">
        <w:rPr>
          <w:rFonts w:ascii="Times New Roman" w:hAnsi="Times New Roman"/>
          <w:color w:val="000000"/>
          <w:lang w:eastAsia="fr-FR"/>
        </w:rPr>
        <w:t xml:space="preserve">1,9 </w:t>
      </w:r>
      <w:r w:rsidR="00406890">
        <w:rPr>
          <w:rFonts w:ascii="Times New Roman" w:hAnsi="Times New Roman"/>
          <w:color w:val="000000"/>
          <w:lang w:eastAsia="fr-FR"/>
        </w:rPr>
        <w:t>%</w:t>
      </w:r>
      <w:r w:rsidR="00B37EBA">
        <w:rPr>
          <w:rFonts w:ascii="Times New Roman" w:hAnsi="Times New Roman"/>
          <w:color w:val="000000"/>
          <w:lang w:eastAsia="fr-FR"/>
        </w:rPr>
        <w:t>.</w:t>
      </w:r>
    </w:p>
    <w:p w14:paraId="59EB6442" w14:textId="73C172BA" w:rsidR="00826A8C" w:rsidRDefault="003737D1" w:rsidP="009160B3">
      <w:pPr>
        <w:spacing w:after="60" w:line="240" w:lineRule="auto"/>
        <w:jc w:val="both"/>
        <w:rPr>
          <w:rFonts w:ascii="Times New Roman" w:hAnsi="Times New Roman"/>
          <w:color w:val="000000"/>
          <w:lang w:eastAsia="fr-FR"/>
        </w:rPr>
      </w:pPr>
      <w:r>
        <w:rPr>
          <w:rFonts w:ascii="Times New Roman" w:hAnsi="Times New Roman"/>
          <w:color w:val="000000"/>
          <w:lang w:eastAsia="fr-FR"/>
        </w:rPr>
        <w:t xml:space="preserve">A </w:t>
      </w:r>
      <w:r w:rsidRPr="003737D1">
        <w:rPr>
          <w:rFonts w:ascii="Times New Roman" w:hAnsi="Times New Roman"/>
          <w:b/>
          <w:color w:val="000000"/>
          <w:lang w:eastAsia="fr-FR"/>
        </w:rPr>
        <w:t xml:space="preserve">Mayotte </w:t>
      </w:r>
      <w:r w:rsidR="001468F1" w:rsidRPr="001468F1">
        <w:rPr>
          <w:rFonts w:ascii="Times New Roman" w:hAnsi="Times New Roman"/>
          <w:color w:val="000000"/>
          <w:lang w:eastAsia="fr-FR"/>
        </w:rPr>
        <w:t>en</w:t>
      </w:r>
      <w:r w:rsidR="00023EA9">
        <w:rPr>
          <w:rFonts w:ascii="Times New Roman" w:hAnsi="Times New Roman"/>
          <w:color w:val="000000"/>
          <w:lang w:eastAsia="fr-FR"/>
        </w:rPr>
        <w:t xml:space="preserve"> déc</w:t>
      </w:r>
      <w:r w:rsidR="00EE4304">
        <w:rPr>
          <w:rFonts w:ascii="Times New Roman" w:hAnsi="Times New Roman"/>
          <w:color w:val="000000"/>
          <w:lang w:eastAsia="fr-FR"/>
        </w:rPr>
        <w:t>embre les</w:t>
      </w:r>
      <w:r w:rsidR="00CD2F1C">
        <w:rPr>
          <w:rFonts w:ascii="Times New Roman" w:hAnsi="Times New Roman"/>
          <w:color w:val="000000"/>
          <w:lang w:eastAsia="fr-FR"/>
        </w:rPr>
        <w:t xml:space="preserve"> prix des biens et services reculent de 0,1 %. La baisse des prix </w:t>
      </w:r>
      <w:r w:rsidR="008E22C8">
        <w:rPr>
          <w:rFonts w:ascii="Times New Roman" w:hAnsi="Times New Roman"/>
          <w:color w:val="000000"/>
          <w:lang w:eastAsia="fr-FR"/>
        </w:rPr>
        <w:t xml:space="preserve">de l’énergie </w:t>
      </w:r>
      <w:r w:rsidR="00CD2F1C">
        <w:rPr>
          <w:rFonts w:ascii="Times New Roman" w:hAnsi="Times New Roman"/>
          <w:color w:val="000000"/>
          <w:lang w:eastAsia="fr-FR"/>
        </w:rPr>
        <w:t xml:space="preserve">est </w:t>
      </w:r>
      <w:r w:rsidR="00346028">
        <w:rPr>
          <w:rFonts w:ascii="Times New Roman" w:hAnsi="Times New Roman"/>
          <w:color w:val="000000"/>
          <w:lang w:eastAsia="fr-FR"/>
        </w:rPr>
        <w:t xml:space="preserve">compensée </w:t>
      </w:r>
      <w:r w:rsidR="00CD2F1C">
        <w:rPr>
          <w:rFonts w:ascii="Times New Roman" w:hAnsi="Times New Roman"/>
          <w:color w:val="000000"/>
          <w:lang w:eastAsia="fr-FR"/>
        </w:rPr>
        <w:t xml:space="preserve">par la hausse des prix du transport aérien et de l’alimentation. </w:t>
      </w:r>
      <w:r w:rsidR="00B37EBA">
        <w:rPr>
          <w:rFonts w:ascii="Times New Roman" w:hAnsi="Times New Roman"/>
          <w:color w:val="000000"/>
          <w:lang w:eastAsia="fr-FR"/>
        </w:rPr>
        <w:t xml:space="preserve">Sur un an, les prix augmentent de </w:t>
      </w:r>
      <w:r w:rsidR="00CD2F1C">
        <w:rPr>
          <w:rFonts w:ascii="Times New Roman" w:hAnsi="Times New Roman"/>
          <w:color w:val="000000"/>
          <w:lang w:eastAsia="fr-FR"/>
        </w:rPr>
        <w:t xml:space="preserve">0,4 </w:t>
      </w:r>
      <w:r w:rsidR="00B37EBA">
        <w:rPr>
          <w:rFonts w:ascii="Times New Roman" w:hAnsi="Times New Roman"/>
          <w:color w:val="000000"/>
          <w:lang w:eastAsia="fr-FR"/>
        </w:rPr>
        <w:t>%</w:t>
      </w:r>
      <w:r w:rsidR="00813321">
        <w:rPr>
          <w:rFonts w:ascii="Times New Roman" w:hAnsi="Times New Roman"/>
          <w:color w:val="000000"/>
          <w:lang w:eastAsia="fr-FR"/>
        </w:rPr>
        <w:t xml:space="preserve"> (</w:t>
      </w:r>
      <w:r w:rsidR="00630DF8">
        <w:rPr>
          <w:rFonts w:ascii="Times New Roman" w:hAnsi="Times New Roman"/>
          <w:color w:val="000000"/>
          <w:lang w:eastAsia="fr-FR"/>
        </w:rPr>
        <w:t>+</w:t>
      </w:r>
      <w:r w:rsidR="008E383D">
        <w:rPr>
          <w:rFonts w:ascii="Times New Roman" w:hAnsi="Times New Roman"/>
          <w:color w:val="000000"/>
          <w:lang w:eastAsia="fr-FR"/>
        </w:rPr>
        <w:t xml:space="preserve"> </w:t>
      </w:r>
      <w:r w:rsidR="00CD2F1C">
        <w:rPr>
          <w:rFonts w:ascii="Times New Roman" w:hAnsi="Times New Roman"/>
          <w:color w:val="000000"/>
          <w:lang w:eastAsia="fr-FR"/>
        </w:rPr>
        <w:t xml:space="preserve">1,6 </w:t>
      </w:r>
      <w:r w:rsidR="00813321">
        <w:rPr>
          <w:rFonts w:ascii="Times New Roman" w:hAnsi="Times New Roman"/>
          <w:color w:val="000000"/>
          <w:lang w:eastAsia="fr-FR"/>
        </w:rPr>
        <w:t>% en métropole)</w:t>
      </w:r>
      <w:r w:rsidR="00B37EBA">
        <w:rPr>
          <w:rFonts w:ascii="Times New Roman" w:hAnsi="Times New Roman"/>
          <w:color w:val="000000"/>
          <w:lang w:eastAsia="fr-FR"/>
        </w:rPr>
        <w:t xml:space="preserve">. </w:t>
      </w:r>
    </w:p>
    <w:p w14:paraId="367225E6" w14:textId="77777777" w:rsidR="003F36BA" w:rsidRDefault="003F36BA" w:rsidP="003C7E6E">
      <w:pPr>
        <w:spacing w:before="120" w:after="0" w:line="240" w:lineRule="auto"/>
        <w:rPr>
          <w:rFonts w:ascii="Times New Roman" w:hAnsi="Times New Roman"/>
          <w:b/>
          <w:color w:val="002060"/>
          <w:sz w:val="24"/>
          <w:szCs w:val="24"/>
          <w:lang w:eastAsia="fr-FR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fr-FR"/>
        </w:rPr>
        <w:t>2) Évolution de l’indice des prix à la consommation des produits de l’alimentation :</w:t>
      </w:r>
    </w:p>
    <w:p w14:paraId="5424ADF0" w14:textId="77777777" w:rsidR="003F36BA" w:rsidRDefault="003F36BA" w:rsidP="003C7E6E">
      <w:pPr>
        <w:spacing w:before="120" w:after="0" w:line="240" w:lineRule="auto"/>
        <w:rPr>
          <w:rFonts w:ascii="Times New Roman" w:hAnsi="Times New Roman"/>
          <w:b/>
          <w:i/>
          <w:color w:val="002060"/>
          <w:lang w:eastAsia="fr-FR"/>
        </w:rPr>
      </w:pPr>
      <w:r>
        <w:rPr>
          <w:rFonts w:ascii="Times New Roman" w:hAnsi="Times New Roman"/>
          <w:b/>
          <w:i/>
          <w:color w:val="002060"/>
          <w:lang w:eastAsia="fr-FR"/>
        </w:rPr>
        <w:t>Sur un mois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1472"/>
        <w:gridCol w:w="1017"/>
        <w:gridCol w:w="1374"/>
        <w:gridCol w:w="1528"/>
        <w:gridCol w:w="1068"/>
      </w:tblGrid>
      <w:tr w:rsidR="003F36BA" w14:paraId="700649E3" w14:textId="77777777" w:rsidTr="009160B3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B1AC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En 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D305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16838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FA80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Martinique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9EEC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La Réunion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93D5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Mayotte</w:t>
            </w:r>
          </w:p>
        </w:tc>
      </w:tr>
      <w:tr w:rsidR="003F36BA" w14:paraId="3323195D" w14:textId="77777777" w:rsidTr="009160B3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7ECE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B3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A8BC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EA53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2434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59E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0,2</w:t>
            </w:r>
          </w:p>
        </w:tc>
      </w:tr>
      <w:tr w:rsidR="003F36BA" w14:paraId="29B71F42" w14:textId="77777777" w:rsidTr="009160B3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CBE4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Produits frais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D221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2,6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0FD5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-1,7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4209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1D13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3886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0,7</w:t>
            </w:r>
          </w:p>
        </w:tc>
      </w:tr>
      <w:tr w:rsidR="00436E1D" w14:paraId="46C6E4FB" w14:textId="77777777" w:rsidTr="009160B3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1C1" w14:textId="77777777" w:rsidR="00436E1D" w:rsidRDefault="00436E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Poissons frais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5D97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5A05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6ECB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610E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FA80" w14:textId="77777777" w:rsidR="00436E1D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0,0</w:t>
            </w:r>
          </w:p>
        </w:tc>
      </w:tr>
      <w:tr w:rsidR="00436E1D" w14:paraId="37B1E4EC" w14:textId="77777777" w:rsidTr="009160B3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AE9" w14:textId="77777777" w:rsidR="00436E1D" w:rsidRDefault="00436E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Fruits frais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2A7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F417" w14:textId="77777777" w:rsidR="00436E1D" w:rsidRPr="000F6D71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-2,7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0746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815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454" w14:textId="77777777" w:rsidR="00436E1D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nd</w:t>
            </w:r>
          </w:p>
        </w:tc>
      </w:tr>
      <w:tr w:rsidR="00436E1D" w14:paraId="1E1A919B" w14:textId="77777777" w:rsidTr="009160B3"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35F" w14:textId="77777777" w:rsidR="00436E1D" w:rsidRDefault="00436E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Légumes frais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61D9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5,9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8F9B" w14:textId="77777777" w:rsidR="00436E1D" w:rsidRPr="000F6D71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-2,2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1BFB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2A9A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17,5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1530" w14:textId="77777777" w:rsidR="00436E1D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nd</w:t>
            </w:r>
          </w:p>
        </w:tc>
      </w:tr>
    </w:tbl>
    <w:p w14:paraId="7C509F80" w14:textId="77777777" w:rsidR="003F36BA" w:rsidRDefault="003F36BA" w:rsidP="003F36BA">
      <w:pPr>
        <w:spacing w:after="0" w:line="240" w:lineRule="auto"/>
        <w:rPr>
          <w:rFonts w:ascii="Times New Roman" w:hAnsi="Times New Roman"/>
          <w:i/>
          <w:sz w:val="18"/>
          <w:szCs w:val="18"/>
          <w:lang w:eastAsia="fr-FR"/>
        </w:rPr>
      </w:pPr>
      <w:r>
        <w:rPr>
          <w:rFonts w:ascii="Times New Roman" w:hAnsi="Times New Roman"/>
          <w:i/>
          <w:sz w:val="18"/>
          <w:szCs w:val="18"/>
          <w:lang w:eastAsia="fr-FR"/>
        </w:rPr>
        <w:t>Source : Insee</w:t>
      </w:r>
    </w:p>
    <w:p w14:paraId="3C03FA8B" w14:textId="77777777" w:rsidR="003F36BA" w:rsidRDefault="003F36BA" w:rsidP="003C7E6E">
      <w:pPr>
        <w:spacing w:before="120" w:after="0" w:line="240" w:lineRule="auto"/>
        <w:rPr>
          <w:rFonts w:ascii="Times New Roman" w:hAnsi="Times New Roman"/>
          <w:b/>
          <w:i/>
          <w:color w:val="002060"/>
          <w:lang w:eastAsia="fr-FR"/>
        </w:rPr>
      </w:pPr>
      <w:r>
        <w:rPr>
          <w:rFonts w:ascii="Times New Roman" w:hAnsi="Times New Roman"/>
          <w:b/>
          <w:i/>
          <w:color w:val="002060"/>
          <w:lang w:eastAsia="fr-FR"/>
        </w:rPr>
        <w:t>Sur un an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470"/>
        <w:gridCol w:w="1017"/>
        <w:gridCol w:w="1432"/>
        <w:gridCol w:w="1470"/>
        <w:gridCol w:w="1068"/>
      </w:tblGrid>
      <w:tr w:rsidR="003F36BA" w14:paraId="40280241" w14:textId="77777777" w:rsidTr="009160B3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88E0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sz w:val="20"/>
                <w:szCs w:val="20"/>
                <w:lang w:eastAsia="fr-FR"/>
              </w:rPr>
              <w:t>En %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E62D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F5EF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Guyane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A465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Martinique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96FA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La Réunion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B7F5" w14:textId="77777777" w:rsidR="003F36BA" w:rsidRDefault="003F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Mayotte</w:t>
            </w:r>
          </w:p>
        </w:tc>
      </w:tr>
      <w:tr w:rsidR="003F36BA" w14:paraId="751017B5" w14:textId="77777777" w:rsidTr="009160B3">
        <w:trPr>
          <w:trHeight w:val="191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3FB1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5F77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61CDE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32CF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17F3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2,8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9CB8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2,9</w:t>
            </w:r>
          </w:p>
        </w:tc>
      </w:tr>
      <w:tr w:rsidR="003F36BA" w14:paraId="42FAAFAB" w14:textId="77777777" w:rsidTr="009160B3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64EE" w14:textId="77777777" w:rsidR="003F36BA" w:rsidRDefault="003F36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Produits frais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C0C5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-4,8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63C41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8AA" w14:textId="77777777" w:rsidR="003F36BA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-0,9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3D70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9,0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B6B2" w14:textId="77777777" w:rsidR="003F36BA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 w:rsidRPr="000F6D71">
              <w:rPr>
                <w:rFonts w:ascii="Times New Roman" w:hAnsi="Times New Roman"/>
                <w:color w:val="00B050"/>
                <w:sz w:val="20"/>
                <w:szCs w:val="20"/>
                <w:lang w:eastAsia="fr-FR"/>
              </w:rPr>
              <w:t>-0,7</w:t>
            </w:r>
          </w:p>
        </w:tc>
      </w:tr>
      <w:tr w:rsidR="00436E1D" w14:paraId="4E5598D4" w14:textId="77777777" w:rsidTr="009160B3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744" w14:textId="77777777" w:rsidR="00436E1D" w:rsidRDefault="00436E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fr-FR"/>
              </w:rPr>
              <w:t>Alimentation hors produits frais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4DE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4E856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1,5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CFE" w14:textId="77777777" w:rsidR="00436E1D" w:rsidRPr="008E383D" w:rsidRDefault="002818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0,9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ED7F" w14:textId="77777777" w:rsidR="00436E1D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2,3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D6DC" w14:textId="77777777" w:rsidR="00436E1D" w:rsidRPr="008E383D" w:rsidRDefault="006F6B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fr-FR"/>
              </w:rPr>
              <w:t>nd</w:t>
            </w:r>
          </w:p>
        </w:tc>
        <w:bookmarkStart w:id="0" w:name="_GoBack"/>
        <w:bookmarkEnd w:id="0"/>
      </w:tr>
    </w:tbl>
    <w:p w14:paraId="44D4CDDD" w14:textId="77777777" w:rsidR="003F36BA" w:rsidRDefault="003F36BA" w:rsidP="003F36BA">
      <w:pPr>
        <w:spacing w:after="0" w:line="240" w:lineRule="auto"/>
        <w:rPr>
          <w:rFonts w:ascii="Times New Roman" w:hAnsi="Times New Roman"/>
          <w:i/>
          <w:sz w:val="18"/>
          <w:szCs w:val="18"/>
          <w:lang w:eastAsia="fr-FR"/>
        </w:rPr>
      </w:pPr>
      <w:r>
        <w:rPr>
          <w:rFonts w:ascii="Times New Roman" w:hAnsi="Times New Roman"/>
          <w:i/>
          <w:sz w:val="18"/>
          <w:szCs w:val="18"/>
          <w:lang w:eastAsia="fr-FR"/>
        </w:rPr>
        <w:t>Source : Insee</w:t>
      </w:r>
    </w:p>
    <w:p w14:paraId="32EA70C0" w14:textId="248F0A56" w:rsidR="00F54D12" w:rsidRDefault="003F36BA" w:rsidP="003C7E6E">
      <w:pPr>
        <w:spacing w:before="120" w:after="60" w:line="24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En </w:t>
      </w:r>
      <w:r>
        <w:rPr>
          <w:rFonts w:ascii="Times New Roman" w:hAnsi="Times New Roman"/>
          <w:b/>
          <w:lang w:eastAsia="fr-FR"/>
        </w:rPr>
        <w:t>Guadeloupe</w:t>
      </w:r>
      <w:r w:rsidR="005207BF">
        <w:rPr>
          <w:rFonts w:ascii="Times New Roman" w:hAnsi="Times New Roman"/>
          <w:b/>
          <w:lang w:eastAsia="fr-FR"/>
        </w:rPr>
        <w:t xml:space="preserve"> </w:t>
      </w:r>
      <w:r w:rsidR="003810F6">
        <w:rPr>
          <w:rFonts w:ascii="Times New Roman" w:hAnsi="Times New Roman"/>
          <w:lang w:eastAsia="fr-FR"/>
        </w:rPr>
        <w:t>en</w:t>
      </w:r>
      <w:r w:rsidR="0030168B">
        <w:rPr>
          <w:rFonts w:ascii="Times New Roman" w:hAnsi="Times New Roman"/>
          <w:lang w:eastAsia="fr-FR"/>
        </w:rPr>
        <w:t xml:space="preserve"> </w:t>
      </w:r>
      <w:r w:rsidR="00023EA9">
        <w:rPr>
          <w:rFonts w:ascii="Times New Roman" w:hAnsi="Times New Roman"/>
          <w:lang w:eastAsia="fr-FR"/>
        </w:rPr>
        <w:t>déc</w:t>
      </w:r>
      <w:r w:rsidR="008A2B8E">
        <w:rPr>
          <w:rFonts w:ascii="Times New Roman" w:hAnsi="Times New Roman"/>
          <w:lang w:eastAsia="fr-FR"/>
        </w:rPr>
        <w:t>embre</w:t>
      </w:r>
      <w:r w:rsidR="00CD2F1C">
        <w:rPr>
          <w:rFonts w:ascii="Times New Roman" w:hAnsi="Times New Roman"/>
          <w:lang w:eastAsia="fr-FR"/>
        </w:rPr>
        <w:t xml:space="preserve"> les prix de l’alimentation augmentent légèrement (+ 0,4 %). Tous les postes y participent, en particulier les produits frais. </w:t>
      </w:r>
      <w:r w:rsidR="00BA1882">
        <w:rPr>
          <w:rFonts w:ascii="Times New Roman" w:hAnsi="Times New Roman"/>
          <w:lang w:eastAsia="fr-FR"/>
        </w:rPr>
        <w:t xml:space="preserve">Hors produits frais, les prix de l’alimentation sont quasi-stables (+ 0,1 %). </w:t>
      </w:r>
      <w:r w:rsidR="00B3393E">
        <w:rPr>
          <w:rFonts w:ascii="Times New Roman" w:hAnsi="Times New Roman"/>
          <w:lang w:eastAsia="fr-FR"/>
        </w:rPr>
        <w:t xml:space="preserve">Sur un an, </w:t>
      </w:r>
      <w:r w:rsidR="00346028">
        <w:rPr>
          <w:rFonts w:ascii="Times New Roman" w:hAnsi="Times New Roman"/>
          <w:lang w:eastAsia="fr-FR"/>
        </w:rPr>
        <w:t xml:space="preserve">et en dépit d’une baisse importante des produits frais (- 4,8 %), </w:t>
      </w:r>
      <w:r w:rsidR="00B3393E">
        <w:rPr>
          <w:rFonts w:ascii="Times New Roman" w:hAnsi="Times New Roman"/>
          <w:lang w:eastAsia="fr-FR"/>
        </w:rPr>
        <w:t xml:space="preserve">les prix </w:t>
      </w:r>
      <w:r w:rsidR="008A2B8E">
        <w:rPr>
          <w:rFonts w:ascii="Times New Roman" w:hAnsi="Times New Roman"/>
          <w:lang w:eastAsia="fr-FR"/>
        </w:rPr>
        <w:t xml:space="preserve">de l’alimentation augmentent </w:t>
      </w:r>
      <w:r w:rsidR="00346028">
        <w:rPr>
          <w:rFonts w:ascii="Times New Roman" w:hAnsi="Times New Roman"/>
          <w:lang w:eastAsia="fr-FR"/>
        </w:rPr>
        <w:t>légèrement (+ </w:t>
      </w:r>
      <w:r w:rsidR="00BA1882">
        <w:rPr>
          <w:rFonts w:ascii="Times New Roman" w:hAnsi="Times New Roman"/>
          <w:lang w:eastAsia="fr-FR"/>
        </w:rPr>
        <w:t>0,8</w:t>
      </w:r>
      <w:r w:rsidR="00346028">
        <w:rPr>
          <w:rFonts w:ascii="Times New Roman" w:hAnsi="Times New Roman"/>
          <w:lang w:eastAsia="fr-FR"/>
        </w:rPr>
        <w:t> </w:t>
      </w:r>
      <w:r w:rsidR="00B3393E">
        <w:rPr>
          <w:rFonts w:ascii="Times New Roman" w:hAnsi="Times New Roman"/>
          <w:lang w:eastAsia="fr-FR"/>
        </w:rPr>
        <w:t>%</w:t>
      </w:r>
      <w:r w:rsidR="00346028">
        <w:rPr>
          <w:rFonts w:ascii="Times New Roman" w:hAnsi="Times New Roman"/>
          <w:lang w:eastAsia="fr-FR"/>
        </w:rPr>
        <w:t>)</w:t>
      </w:r>
      <w:r w:rsidR="00B3393E">
        <w:rPr>
          <w:rFonts w:ascii="Times New Roman" w:hAnsi="Times New Roman"/>
          <w:lang w:eastAsia="fr-FR"/>
        </w:rPr>
        <w:t>.</w:t>
      </w:r>
    </w:p>
    <w:p w14:paraId="66F44AF1" w14:textId="77777777" w:rsidR="008574D5" w:rsidRDefault="00401DB8" w:rsidP="009160B3">
      <w:pPr>
        <w:spacing w:after="60" w:line="240" w:lineRule="auto"/>
        <w:jc w:val="both"/>
        <w:rPr>
          <w:rFonts w:ascii="Times New Roman" w:hAnsi="Times New Roman"/>
          <w:lang w:eastAsia="fr-FR"/>
        </w:rPr>
      </w:pPr>
      <w:r w:rsidRPr="00401DB8">
        <w:rPr>
          <w:rFonts w:ascii="Times New Roman" w:hAnsi="Times New Roman"/>
          <w:lang w:eastAsia="fr-FR"/>
        </w:rPr>
        <w:t>En</w:t>
      </w:r>
      <w:r>
        <w:rPr>
          <w:rFonts w:ascii="Times New Roman" w:hAnsi="Times New Roman"/>
          <w:b/>
          <w:lang w:eastAsia="fr-FR"/>
        </w:rPr>
        <w:t xml:space="preserve"> Guyane</w:t>
      </w:r>
      <w:r w:rsidR="003F36BA">
        <w:rPr>
          <w:rFonts w:ascii="Times New Roman" w:hAnsi="Times New Roman"/>
          <w:lang w:eastAsia="fr-FR"/>
        </w:rPr>
        <w:t xml:space="preserve"> </w:t>
      </w:r>
      <w:r w:rsidR="003810F6">
        <w:rPr>
          <w:rFonts w:ascii="Times New Roman" w:hAnsi="Times New Roman"/>
          <w:lang w:eastAsia="fr-FR"/>
        </w:rPr>
        <w:t>en</w:t>
      </w:r>
      <w:r w:rsidR="00B3393E">
        <w:rPr>
          <w:rFonts w:ascii="Times New Roman" w:hAnsi="Times New Roman"/>
          <w:lang w:eastAsia="fr-FR"/>
        </w:rPr>
        <w:t xml:space="preserve"> </w:t>
      </w:r>
      <w:r w:rsidR="00023EA9">
        <w:rPr>
          <w:rFonts w:ascii="Times New Roman" w:hAnsi="Times New Roman"/>
          <w:lang w:eastAsia="fr-FR"/>
        </w:rPr>
        <w:t>déc</w:t>
      </w:r>
      <w:r w:rsidR="008A2B8E">
        <w:rPr>
          <w:rFonts w:ascii="Times New Roman" w:hAnsi="Times New Roman"/>
          <w:lang w:eastAsia="fr-FR"/>
        </w:rPr>
        <w:t>embre</w:t>
      </w:r>
      <w:r w:rsidR="00BA1882">
        <w:rPr>
          <w:rFonts w:ascii="Times New Roman" w:hAnsi="Times New Roman"/>
          <w:lang w:eastAsia="fr-FR"/>
        </w:rPr>
        <w:t xml:space="preserve"> les prix de l’alimentation augmentent très faiblement (+ 0,1 %). Les prix des produits frais sont en baisse de 1,7 %, cependant cette baisse est compensée par l’augmentation des prix des produits non-frais (+ 0,3 %). </w:t>
      </w:r>
      <w:r w:rsidR="008A2B8E">
        <w:rPr>
          <w:rFonts w:ascii="Times New Roman" w:hAnsi="Times New Roman"/>
          <w:lang w:eastAsia="fr-FR"/>
        </w:rPr>
        <w:t xml:space="preserve"> </w:t>
      </w:r>
      <w:r w:rsidR="00777DF6">
        <w:rPr>
          <w:rFonts w:ascii="Times New Roman" w:hAnsi="Times New Roman"/>
          <w:lang w:eastAsia="fr-FR"/>
        </w:rPr>
        <w:t xml:space="preserve">Sur un an, les prix de l’alimentation </w:t>
      </w:r>
      <w:r w:rsidR="0076225D">
        <w:rPr>
          <w:rFonts w:ascii="Times New Roman" w:hAnsi="Times New Roman"/>
          <w:lang w:eastAsia="fr-FR"/>
        </w:rPr>
        <w:t xml:space="preserve">croissent de </w:t>
      </w:r>
      <w:r w:rsidR="00BA1882">
        <w:rPr>
          <w:rFonts w:ascii="Times New Roman" w:hAnsi="Times New Roman"/>
          <w:lang w:eastAsia="fr-FR"/>
        </w:rPr>
        <w:t>1,4</w:t>
      </w:r>
      <w:r w:rsidR="00B3393E">
        <w:rPr>
          <w:rFonts w:ascii="Times New Roman" w:hAnsi="Times New Roman"/>
          <w:lang w:eastAsia="fr-FR"/>
        </w:rPr>
        <w:t xml:space="preserve"> </w:t>
      </w:r>
      <w:r w:rsidR="00777DF6">
        <w:rPr>
          <w:rFonts w:ascii="Times New Roman" w:hAnsi="Times New Roman"/>
          <w:lang w:eastAsia="fr-FR"/>
        </w:rPr>
        <w:t>%.</w:t>
      </w:r>
    </w:p>
    <w:p w14:paraId="44EBED8C" w14:textId="77777777" w:rsidR="004B2E50" w:rsidRDefault="003F36BA" w:rsidP="009160B3">
      <w:pPr>
        <w:spacing w:after="60" w:line="24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En </w:t>
      </w:r>
      <w:r>
        <w:rPr>
          <w:rFonts w:ascii="Times New Roman" w:hAnsi="Times New Roman"/>
          <w:b/>
          <w:lang w:eastAsia="fr-FR"/>
        </w:rPr>
        <w:t>Martinique</w:t>
      </w:r>
      <w:r w:rsidR="00957CBD">
        <w:rPr>
          <w:rFonts w:ascii="Times New Roman" w:hAnsi="Times New Roman"/>
          <w:b/>
          <w:lang w:eastAsia="fr-FR"/>
        </w:rPr>
        <w:t xml:space="preserve"> </w:t>
      </w:r>
      <w:r w:rsidR="003810F6">
        <w:rPr>
          <w:rFonts w:ascii="Times New Roman" w:hAnsi="Times New Roman"/>
          <w:lang w:eastAsia="fr-FR"/>
        </w:rPr>
        <w:t>en</w:t>
      </w:r>
      <w:r w:rsidR="00023EA9">
        <w:rPr>
          <w:rFonts w:ascii="Times New Roman" w:hAnsi="Times New Roman"/>
          <w:lang w:eastAsia="fr-FR"/>
        </w:rPr>
        <w:t xml:space="preserve"> déc</w:t>
      </w:r>
      <w:r w:rsidR="00560B92">
        <w:rPr>
          <w:rFonts w:ascii="Times New Roman" w:hAnsi="Times New Roman"/>
          <w:lang w:eastAsia="fr-FR"/>
        </w:rPr>
        <w:t xml:space="preserve">embre </w:t>
      </w:r>
      <w:r w:rsidR="00BA1882">
        <w:rPr>
          <w:rFonts w:ascii="Times New Roman" w:hAnsi="Times New Roman"/>
          <w:lang w:eastAsia="fr-FR"/>
        </w:rPr>
        <w:t>les prix de l’alimentation progressent de 0,5 % par rapport à novembre</w:t>
      </w:r>
      <w:r w:rsidR="00C310A6">
        <w:rPr>
          <w:rFonts w:ascii="Times New Roman" w:hAnsi="Times New Roman"/>
          <w:lang w:eastAsia="fr-FR"/>
        </w:rPr>
        <w:t xml:space="preserve">. Cela est principalement dû à la hausse des prix des produits frais (+ 1,5 %). Sur un an, </w:t>
      </w:r>
      <w:r w:rsidR="00560B92">
        <w:rPr>
          <w:rFonts w:ascii="Times New Roman" w:hAnsi="Times New Roman"/>
          <w:lang w:eastAsia="fr-FR"/>
        </w:rPr>
        <w:t>les prix de l’alimentation</w:t>
      </w:r>
      <w:r w:rsidR="00C310A6">
        <w:rPr>
          <w:rFonts w:ascii="Times New Roman" w:hAnsi="Times New Roman"/>
          <w:lang w:eastAsia="fr-FR"/>
        </w:rPr>
        <w:t xml:space="preserve"> augmentent de 0,7 %, légèrement plus que la hausse globale des prix. Cependant, les prix des produits frais diminuent (- 0,9 %). </w:t>
      </w:r>
      <w:r w:rsidR="00560B92">
        <w:rPr>
          <w:rFonts w:ascii="Times New Roman" w:hAnsi="Times New Roman"/>
          <w:lang w:eastAsia="fr-FR"/>
        </w:rPr>
        <w:t xml:space="preserve"> </w:t>
      </w:r>
    </w:p>
    <w:p w14:paraId="2A04E037" w14:textId="77777777" w:rsidR="009274B2" w:rsidRDefault="000767F5" w:rsidP="009160B3">
      <w:pPr>
        <w:spacing w:after="60" w:line="240" w:lineRule="auto"/>
        <w:jc w:val="both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A</w:t>
      </w:r>
      <w:r w:rsidR="003F36BA">
        <w:rPr>
          <w:rFonts w:ascii="Times New Roman" w:hAnsi="Times New Roman"/>
          <w:lang w:eastAsia="fr-FR"/>
        </w:rPr>
        <w:t xml:space="preserve"> </w:t>
      </w:r>
      <w:r w:rsidR="006D21FE">
        <w:rPr>
          <w:rFonts w:ascii="Times New Roman" w:hAnsi="Times New Roman"/>
          <w:b/>
          <w:lang w:eastAsia="fr-FR"/>
        </w:rPr>
        <w:t>L</w:t>
      </w:r>
      <w:r w:rsidR="003F36BA">
        <w:rPr>
          <w:rFonts w:ascii="Times New Roman" w:hAnsi="Times New Roman"/>
          <w:b/>
          <w:lang w:eastAsia="fr-FR"/>
        </w:rPr>
        <w:t xml:space="preserve">a Réunion </w:t>
      </w:r>
      <w:r w:rsidR="00FC26AD" w:rsidRPr="00FC26AD">
        <w:rPr>
          <w:rFonts w:ascii="Times New Roman" w:hAnsi="Times New Roman"/>
          <w:lang w:eastAsia="fr-FR"/>
        </w:rPr>
        <w:t>en</w:t>
      </w:r>
      <w:r w:rsidR="00023EA9">
        <w:rPr>
          <w:rFonts w:ascii="Times New Roman" w:hAnsi="Times New Roman"/>
          <w:lang w:eastAsia="fr-FR"/>
        </w:rPr>
        <w:t xml:space="preserve"> déc</w:t>
      </w:r>
      <w:r w:rsidR="00116F10">
        <w:rPr>
          <w:rFonts w:ascii="Times New Roman" w:hAnsi="Times New Roman"/>
          <w:lang w:eastAsia="fr-FR"/>
        </w:rPr>
        <w:t>embr</w:t>
      </w:r>
      <w:r w:rsidR="00C310A6">
        <w:rPr>
          <w:rFonts w:ascii="Times New Roman" w:hAnsi="Times New Roman"/>
          <w:lang w:eastAsia="fr-FR"/>
        </w:rPr>
        <w:t>e les prix de l’alimentation poursuivent leur hausse (+ 1,4 %) entamée en novembre.</w:t>
      </w:r>
      <w:r w:rsidR="00116F10">
        <w:rPr>
          <w:rFonts w:ascii="Times New Roman" w:hAnsi="Times New Roman"/>
          <w:lang w:eastAsia="fr-FR"/>
        </w:rPr>
        <w:t xml:space="preserve"> </w:t>
      </w:r>
      <w:r w:rsidR="00C310A6">
        <w:rPr>
          <w:rFonts w:ascii="Times New Roman" w:hAnsi="Times New Roman"/>
          <w:lang w:eastAsia="fr-FR"/>
        </w:rPr>
        <w:t xml:space="preserve">Les prix des produits non-frais augmentent de 1,3 % sous l’effet des problèmes d’approvisionnement, et ceux des produits frais sont en hausse de 2,4 %. </w:t>
      </w:r>
      <w:r w:rsidR="00777DF6">
        <w:rPr>
          <w:rFonts w:ascii="Times New Roman" w:hAnsi="Times New Roman"/>
          <w:lang w:eastAsia="fr-FR"/>
        </w:rPr>
        <w:t>Sur un an, les prix de l’alimentation</w:t>
      </w:r>
      <w:r w:rsidR="00406890">
        <w:rPr>
          <w:rFonts w:ascii="Times New Roman" w:hAnsi="Times New Roman"/>
          <w:lang w:eastAsia="fr-FR"/>
        </w:rPr>
        <w:t xml:space="preserve"> </w:t>
      </w:r>
      <w:r w:rsidR="0076225D">
        <w:rPr>
          <w:rFonts w:ascii="Times New Roman" w:hAnsi="Times New Roman"/>
          <w:lang w:eastAsia="fr-FR"/>
        </w:rPr>
        <w:t>augmentent de</w:t>
      </w:r>
      <w:r w:rsidR="00C310A6">
        <w:rPr>
          <w:rFonts w:ascii="Times New Roman" w:hAnsi="Times New Roman"/>
          <w:lang w:eastAsia="fr-FR"/>
        </w:rPr>
        <w:t xml:space="preserve"> 2,8 </w:t>
      </w:r>
      <w:r w:rsidR="00304B3A">
        <w:rPr>
          <w:rFonts w:ascii="Times New Roman" w:hAnsi="Times New Roman"/>
          <w:lang w:eastAsia="fr-FR"/>
        </w:rPr>
        <w:t>%</w:t>
      </w:r>
      <w:r w:rsidR="00EA7A34">
        <w:rPr>
          <w:rFonts w:ascii="Times New Roman" w:hAnsi="Times New Roman"/>
          <w:lang w:eastAsia="fr-FR"/>
        </w:rPr>
        <w:t>, en particulier dans le frais (+ 9 %)</w:t>
      </w:r>
      <w:r w:rsidR="00777DF6">
        <w:rPr>
          <w:rFonts w:ascii="Times New Roman" w:hAnsi="Times New Roman"/>
          <w:lang w:eastAsia="fr-FR"/>
        </w:rPr>
        <w:t>.</w:t>
      </w:r>
    </w:p>
    <w:p w14:paraId="181A54FB" w14:textId="7B99048A" w:rsidR="008A3AC2" w:rsidRDefault="00134581" w:rsidP="006823D8">
      <w:pPr>
        <w:spacing w:after="60" w:line="240" w:lineRule="auto"/>
        <w:jc w:val="both"/>
      </w:pPr>
      <w:r>
        <w:rPr>
          <w:rFonts w:ascii="Times New Roman" w:hAnsi="Times New Roman"/>
          <w:lang w:eastAsia="fr-FR"/>
        </w:rPr>
        <w:t xml:space="preserve">A </w:t>
      </w:r>
      <w:r w:rsidR="00CA3889" w:rsidRPr="00CA3889">
        <w:rPr>
          <w:rFonts w:ascii="Times New Roman" w:hAnsi="Times New Roman"/>
          <w:b/>
          <w:lang w:eastAsia="fr-FR"/>
        </w:rPr>
        <w:t>Mayotte</w:t>
      </w:r>
      <w:r w:rsidR="00CA3889">
        <w:rPr>
          <w:rFonts w:ascii="Times New Roman" w:hAnsi="Times New Roman"/>
          <w:lang w:eastAsia="fr-FR"/>
        </w:rPr>
        <w:t xml:space="preserve"> en</w:t>
      </w:r>
      <w:r w:rsidR="0048763A">
        <w:rPr>
          <w:rFonts w:ascii="Times New Roman" w:hAnsi="Times New Roman"/>
          <w:lang w:eastAsia="fr-FR"/>
        </w:rPr>
        <w:t xml:space="preserve"> </w:t>
      </w:r>
      <w:r w:rsidR="00023EA9">
        <w:rPr>
          <w:rFonts w:ascii="Times New Roman" w:hAnsi="Times New Roman"/>
          <w:lang w:eastAsia="fr-FR"/>
        </w:rPr>
        <w:t>déc</w:t>
      </w:r>
      <w:r w:rsidR="0048763A">
        <w:rPr>
          <w:rFonts w:ascii="Times New Roman" w:hAnsi="Times New Roman"/>
          <w:lang w:eastAsia="fr-FR"/>
        </w:rPr>
        <w:t>embre les prix de l’</w:t>
      </w:r>
      <w:r w:rsidR="00ED5A46">
        <w:rPr>
          <w:rFonts w:ascii="Times New Roman" w:hAnsi="Times New Roman"/>
          <w:lang w:eastAsia="fr-FR"/>
        </w:rPr>
        <w:t>alimentation</w:t>
      </w:r>
      <w:r w:rsidR="00C310A6">
        <w:rPr>
          <w:rFonts w:ascii="Times New Roman" w:hAnsi="Times New Roman"/>
          <w:lang w:eastAsia="fr-FR"/>
        </w:rPr>
        <w:t xml:space="preserve"> progressent </w:t>
      </w:r>
      <w:r w:rsidR="00EA7A34">
        <w:rPr>
          <w:rFonts w:ascii="Times New Roman" w:hAnsi="Times New Roman"/>
          <w:lang w:eastAsia="fr-FR"/>
        </w:rPr>
        <w:t>légèrement (+ </w:t>
      </w:r>
      <w:r w:rsidR="00B23AF8">
        <w:rPr>
          <w:rFonts w:ascii="Times New Roman" w:hAnsi="Times New Roman"/>
          <w:lang w:eastAsia="fr-FR"/>
        </w:rPr>
        <w:t>0,2</w:t>
      </w:r>
      <w:r w:rsidR="00EA7A34">
        <w:rPr>
          <w:rFonts w:ascii="Times New Roman" w:hAnsi="Times New Roman"/>
          <w:lang w:eastAsia="fr-FR"/>
        </w:rPr>
        <w:t> </w:t>
      </w:r>
      <w:r w:rsidR="00B23AF8">
        <w:rPr>
          <w:rFonts w:ascii="Times New Roman" w:hAnsi="Times New Roman"/>
          <w:lang w:eastAsia="fr-FR"/>
        </w:rPr>
        <w:t>%</w:t>
      </w:r>
      <w:r w:rsidR="00EA7A34">
        <w:rPr>
          <w:rFonts w:ascii="Times New Roman" w:hAnsi="Times New Roman"/>
          <w:lang w:eastAsia="fr-FR"/>
        </w:rPr>
        <w:t>)</w:t>
      </w:r>
      <w:r w:rsidR="00B23AF8">
        <w:rPr>
          <w:rFonts w:ascii="Times New Roman" w:hAnsi="Times New Roman"/>
          <w:lang w:eastAsia="fr-FR"/>
        </w:rPr>
        <w:t xml:space="preserve">, en raison </w:t>
      </w:r>
      <w:r w:rsidR="00EA7A34">
        <w:rPr>
          <w:rFonts w:ascii="Times New Roman" w:hAnsi="Times New Roman"/>
          <w:lang w:eastAsia="fr-FR"/>
        </w:rPr>
        <w:t xml:space="preserve">principalement </w:t>
      </w:r>
      <w:r w:rsidR="00B23AF8">
        <w:rPr>
          <w:rFonts w:ascii="Times New Roman" w:hAnsi="Times New Roman"/>
          <w:lang w:eastAsia="fr-FR"/>
        </w:rPr>
        <w:t>des hausses de</w:t>
      </w:r>
      <w:r w:rsidR="00C310A6">
        <w:rPr>
          <w:rFonts w:ascii="Times New Roman" w:hAnsi="Times New Roman"/>
          <w:lang w:eastAsia="fr-FR"/>
        </w:rPr>
        <w:t xml:space="preserve"> prix des produits frais (+ 0,7 %) et des viandes et volailles (+ 0,5 %).</w:t>
      </w:r>
      <w:r w:rsidR="00ED5A46">
        <w:rPr>
          <w:rFonts w:ascii="Times New Roman" w:hAnsi="Times New Roman"/>
          <w:lang w:eastAsia="fr-FR"/>
        </w:rPr>
        <w:t xml:space="preserve"> </w:t>
      </w:r>
      <w:r w:rsidR="00777DF6">
        <w:rPr>
          <w:rFonts w:ascii="Times New Roman" w:hAnsi="Times New Roman"/>
          <w:lang w:eastAsia="fr-FR"/>
        </w:rPr>
        <w:t xml:space="preserve">Sur un an, les prix de l’alimentation </w:t>
      </w:r>
      <w:r w:rsidR="0076225D">
        <w:rPr>
          <w:rFonts w:ascii="Times New Roman" w:hAnsi="Times New Roman"/>
          <w:lang w:eastAsia="fr-FR"/>
        </w:rPr>
        <w:t xml:space="preserve">progressent de </w:t>
      </w:r>
      <w:r w:rsidR="00C310A6">
        <w:rPr>
          <w:rFonts w:ascii="Times New Roman" w:hAnsi="Times New Roman"/>
          <w:lang w:eastAsia="fr-FR"/>
        </w:rPr>
        <w:t>2,9 </w:t>
      </w:r>
      <w:r w:rsidR="00ED5A46">
        <w:rPr>
          <w:rFonts w:ascii="Times New Roman" w:hAnsi="Times New Roman"/>
          <w:lang w:eastAsia="fr-FR"/>
        </w:rPr>
        <w:t>%</w:t>
      </w:r>
      <w:r w:rsidR="00EA7A34">
        <w:rPr>
          <w:rFonts w:ascii="Times New Roman" w:hAnsi="Times New Roman"/>
          <w:lang w:eastAsia="fr-FR"/>
        </w:rPr>
        <w:t xml:space="preserve"> mais étaient en baisse dans le frais (- 0,7 %)</w:t>
      </w:r>
      <w:r w:rsidR="00ED5A46">
        <w:rPr>
          <w:rFonts w:ascii="Times New Roman" w:hAnsi="Times New Roman"/>
          <w:lang w:eastAsia="fr-FR"/>
        </w:rPr>
        <w:t>.</w:t>
      </w:r>
    </w:p>
    <w:sectPr w:rsidR="008A3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BA"/>
    <w:rsid w:val="00022125"/>
    <w:rsid w:val="00023EA9"/>
    <w:rsid w:val="000277B3"/>
    <w:rsid w:val="000447FF"/>
    <w:rsid w:val="000767F5"/>
    <w:rsid w:val="00084F65"/>
    <w:rsid w:val="000A30C8"/>
    <w:rsid w:val="000A492C"/>
    <w:rsid w:val="000A4DDB"/>
    <w:rsid w:val="000C224A"/>
    <w:rsid w:val="000D3E01"/>
    <w:rsid w:val="000E3FE1"/>
    <w:rsid w:val="000F3960"/>
    <w:rsid w:val="000F5CD2"/>
    <w:rsid w:val="000F6D71"/>
    <w:rsid w:val="00107340"/>
    <w:rsid w:val="00116F10"/>
    <w:rsid w:val="00123F2E"/>
    <w:rsid w:val="001265AD"/>
    <w:rsid w:val="00134581"/>
    <w:rsid w:val="001370E2"/>
    <w:rsid w:val="00140FBB"/>
    <w:rsid w:val="00144406"/>
    <w:rsid w:val="00144AA4"/>
    <w:rsid w:val="00145C39"/>
    <w:rsid w:val="001468F1"/>
    <w:rsid w:val="001557B0"/>
    <w:rsid w:val="00157464"/>
    <w:rsid w:val="00176448"/>
    <w:rsid w:val="00193B5E"/>
    <w:rsid w:val="00196498"/>
    <w:rsid w:val="001C1381"/>
    <w:rsid w:val="001C3F6D"/>
    <w:rsid w:val="001D1C0A"/>
    <w:rsid w:val="001E0728"/>
    <w:rsid w:val="001E74A6"/>
    <w:rsid w:val="001E74CF"/>
    <w:rsid w:val="002056F9"/>
    <w:rsid w:val="002065D4"/>
    <w:rsid w:val="002233AC"/>
    <w:rsid w:val="00224F0E"/>
    <w:rsid w:val="002253D6"/>
    <w:rsid w:val="00243537"/>
    <w:rsid w:val="00260A08"/>
    <w:rsid w:val="00261D78"/>
    <w:rsid w:val="00262F40"/>
    <w:rsid w:val="002818AF"/>
    <w:rsid w:val="00283E6E"/>
    <w:rsid w:val="002906AE"/>
    <w:rsid w:val="00293E9F"/>
    <w:rsid w:val="002B56CB"/>
    <w:rsid w:val="002E0620"/>
    <w:rsid w:val="0030168B"/>
    <w:rsid w:val="00301DF3"/>
    <w:rsid w:val="00304B3A"/>
    <w:rsid w:val="003119E1"/>
    <w:rsid w:val="00311F33"/>
    <w:rsid w:val="00313E0B"/>
    <w:rsid w:val="00317151"/>
    <w:rsid w:val="00326777"/>
    <w:rsid w:val="00330C29"/>
    <w:rsid w:val="00341473"/>
    <w:rsid w:val="0034200E"/>
    <w:rsid w:val="00346028"/>
    <w:rsid w:val="0035055C"/>
    <w:rsid w:val="003569B9"/>
    <w:rsid w:val="00357F8D"/>
    <w:rsid w:val="00360DDA"/>
    <w:rsid w:val="003737D1"/>
    <w:rsid w:val="003763C2"/>
    <w:rsid w:val="003810F6"/>
    <w:rsid w:val="00397CC9"/>
    <w:rsid w:val="003C7E6E"/>
    <w:rsid w:val="003E3A58"/>
    <w:rsid w:val="003E47A0"/>
    <w:rsid w:val="003F36BA"/>
    <w:rsid w:val="003F41F1"/>
    <w:rsid w:val="003F6177"/>
    <w:rsid w:val="00401DB8"/>
    <w:rsid w:val="00405556"/>
    <w:rsid w:val="00406890"/>
    <w:rsid w:val="00410495"/>
    <w:rsid w:val="00416E57"/>
    <w:rsid w:val="004208DB"/>
    <w:rsid w:val="00436E1D"/>
    <w:rsid w:val="00444674"/>
    <w:rsid w:val="004473FD"/>
    <w:rsid w:val="004529C1"/>
    <w:rsid w:val="00454190"/>
    <w:rsid w:val="00460622"/>
    <w:rsid w:val="00466A0A"/>
    <w:rsid w:val="0047250C"/>
    <w:rsid w:val="0047489D"/>
    <w:rsid w:val="00480169"/>
    <w:rsid w:val="0048763A"/>
    <w:rsid w:val="004A15D8"/>
    <w:rsid w:val="004A2BDD"/>
    <w:rsid w:val="004B2E50"/>
    <w:rsid w:val="004B5864"/>
    <w:rsid w:val="004C11D5"/>
    <w:rsid w:val="004D0A22"/>
    <w:rsid w:val="00503CA8"/>
    <w:rsid w:val="00510834"/>
    <w:rsid w:val="00512163"/>
    <w:rsid w:val="005207BF"/>
    <w:rsid w:val="00560B92"/>
    <w:rsid w:val="00567D99"/>
    <w:rsid w:val="005733BF"/>
    <w:rsid w:val="005A434C"/>
    <w:rsid w:val="005B3E09"/>
    <w:rsid w:val="005B40B8"/>
    <w:rsid w:val="005C0D51"/>
    <w:rsid w:val="005E6755"/>
    <w:rsid w:val="005E734E"/>
    <w:rsid w:val="006002C6"/>
    <w:rsid w:val="006020D1"/>
    <w:rsid w:val="0061694A"/>
    <w:rsid w:val="00617798"/>
    <w:rsid w:val="00617E82"/>
    <w:rsid w:val="00620479"/>
    <w:rsid w:val="00630DF8"/>
    <w:rsid w:val="00645B78"/>
    <w:rsid w:val="00671F66"/>
    <w:rsid w:val="00681283"/>
    <w:rsid w:val="006823D8"/>
    <w:rsid w:val="00686033"/>
    <w:rsid w:val="006B2D67"/>
    <w:rsid w:val="006B7400"/>
    <w:rsid w:val="006C5964"/>
    <w:rsid w:val="006D21FE"/>
    <w:rsid w:val="006E1DD3"/>
    <w:rsid w:val="006F4C84"/>
    <w:rsid w:val="006F6B4B"/>
    <w:rsid w:val="00702D17"/>
    <w:rsid w:val="0071275A"/>
    <w:rsid w:val="0072002E"/>
    <w:rsid w:val="00733FDE"/>
    <w:rsid w:val="00741743"/>
    <w:rsid w:val="00745A81"/>
    <w:rsid w:val="007550F9"/>
    <w:rsid w:val="007558DD"/>
    <w:rsid w:val="0076225D"/>
    <w:rsid w:val="00771A3C"/>
    <w:rsid w:val="00777DF6"/>
    <w:rsid w:val="00783A6F"/>
    <w:rsid w:val="007A4CF2"/>
    <w:rsid w:val="007B27C0"/>
    <w:rsid w:val="007B325A"/>
    <w:rsid w:val="007B4ACC"/>
    <w:rsid w:val="007C4220"/>
    <w:rsid w:val="007E21CE"/>
    <w:rsid w:val="00813321"/>
    <w:rsid w:val="008237FA"/>
    <w:rsid w:val="00826A8C"/>
    <w:rsid w:val="00842BD8"/>
    <w:rsid w:val="00846B27"/>
    <w:rsid w:val="008528A7"/>
    <w:rsid w:val="008574D5"/>
    <w:rsid w:val="008924B2"/>
    <w:rsid w:val="0089724B"/>
    <w:rsid w:val="008A1342"/>
    <w:rsid w:val="008A23F1"/>
    <w:rsid w:val="008A2782"/>
    <w:rsid w:val="008A2B8E"/>
    <w:rsid w:val="008A3AC2"/>
    <w:rsid w:val="008C0C43"/>
    <w:rsid w:val="008D6A3E"/>
    <w:rsid w:val="008E22C8"/>
    <w:rsid w:val="008E383D"/>
    <w:rsid w:val="009103C2"/>
    <w:rsid w:val="009160B3"/>
    <w:rsid w:val="00925A80"/>
    <w:rsid w:val="009274B2"/>
    <w:rsid w:val="00947F51"/>
    <w:rsid w:val="00950010"/>
    <w:rsid w:val="009534C3"/>
    <w:rsid w:val="00957CBD"/>
    <w:rsid w:val="00981DC6"/>
    <w:rsid w:val="00991DD1"/>
    <w:rsid w:val="009B0813"/>
    <w:rsid w:val="009B0A12"/>
    <w:rsid w:val="009C189A"/>
    <w:rsid w:val="009C58E4"/>
    <w:rsid w:val="009E34E1"/>
    <w:rsid w:val="009E3E5A"/>
    <w:rsid w:val="009E7390"/>
    <w:rsid w:val="00A04921"/>
    <w:rsid w:val="00A0499B"/>
    <w:rsid w:val="00A175AB"/>
    <w:rsid w:val="00A23333"/>
    <w:rsid w:val="00A25B5B"/>
    <w:rsid w:val="00A308AA"/>
    <w:rsid w:val="00A35FCB"/>
    <w:rsid w:val="00A50F84"/>
    <w:rsid w:val="00A70E52"/>
    <w:rsid w:val="00A74D05"/>
    <w:rsid w:val="00A81F74"/>
    <w:rsid w:val="00A941CF"/>
    <w:rsid w:val="00A96F16"/>
    <w:rsid w:val="00AA36BE"/>
    <w:rsid w:val="00AB42B6"/>
    <w:rsid w:val="00AF3340"/>
    <w:rsid w:val="00B01B58"/>
    <w:rsid w:val="00B10B6A"/>
    <w:rsid w:val="00B20F05"/>
    <w:rsid w:val="00B23652"/>
    <w:rsid w:val="00B23AF8"/>
    <w:rsid w:val="00B3393E"/>
    <w:rsid w:val="00B34AA1"/>
    <w:rsid w:val="00B37EBA"/>
    <w:rsid w:val="00B570EA"/>
    <w:rsid w:val="00B645DF"/>
    <w:rsid w:val="00B65CB5"/>
    <w:rsid w:val="00B7134C"/>
    <w:rsid w:val="00B74215"/>
    <w:rsid w:val="00B80435"/>
    <w:rsid w:val="00B837AF"/>
    <w:rsid w:val="00B83C55"/>
    <w:rsid w:val="00B915E7"/>
    <w:rsid w:val="00BA1882"/>
    <w:rsid w:val="00BB7316"/>
    <w:rsid w:val="00BB7C2B"/>
    <w:rsid w:val="00BC1891"/>
    <w:rsid w:val="00BD5C2B"/>
    <w:rsid w:val="00BF554A"/>
    <w:rsid w:val="00C310A6"/>
    <w:rsid w:val="00C62153"/>
    <w:rsid w:val="00C70944"/>
    <w:rsid w:val="00C76278"/>
    <w:rsid w:val="00C9388F"/>
    <w:rsid w:val="00CA3889"/>
    <w:rsid w:val="00CA637A"/>
    <w:rsid w:val="00CD2F1C"/>
    <w:rsid w:val="00CE355F"/>
    <w:rsid w:val="00CF752A"/>
    <w:rsid w:val="00D02297"/>
    <w:rsid w:val="00D06BA0"/>
    <w:rsid w:val="00D07A35"/>
    <w:rsid w:val="00D4587D"/>
    <w:rsid w:val="00D665D8"/>
    <w:rsid w:val="00D73879"/>
    <w:rsid w:val="00DA00E4"/>
    <w:rsid w:val="00DA3F5D"/>
    <w:rsid w:val="00DB7E64"/>
    <w:rsid w:val="00DC0134"/>
    <w:rsid w:val="00DC14A3"/>
    <w:rsid w:val="00DC2C0C"/>
    <w:rsid w:val="00DC4D52"/>
    <w:rsid w:val="00DD3260"/>
    <w:rsid w:val="00DD45E2"/>
    <w:rsid w:val="00DD7795"/>
    <w:rsid w:val="00DE697D"/>
    <w:rsid w:val="00DF4141"/>
    <w:rsid w:val="00E1739F"/>
    <w:rsid w:val="00E31CB3"/>
    <w:rsid w:val="00E42039"/>
    <w:rsid w:val="00E5762E"/>
    <w:rsid w:val="00E615C3"/>
    <w:rsid w:val="00E62D2E"/>
    <w:rsid w:val="00E642B5"/>
    <w:rsid w:val="00E81214"/>
    <w:rsid w:val="00E964F6"/>
    <w:rsid w:val="00EA37D4"/>
    <w:rsid w:val="00EA7A34"/>
    <w:rsid w:val="00EB4D8A"/>
    <w:rsid w:val="00EC760F"/>
    <w:rsid w:val="00ED3C29"/>
    <w:rsid w:val="00ED5A46"/>
    <w:rsid w:val="00ED6078"/>
    <w:rsid w:val="00EE0B0D"/>
    <w:rsid w:val="00EE4304"/>
    <w:rsid w:val="00EE4E59"/>
    <w:rsid w:val="00EF55E7"/>
    <w:rsid w:val="00F23B0C"/>
    <w:rsid w:val="00F36A41"/>
    <w:rsid w:val="00F51AC5"/>
    <w:rsid w:val="00F52FAF"/>
    <w:rsid w:val="00F53591"/>
    <w:rsid w:val="00F54D12"/>
    <w:rsid w:val="00F56257"/>
    <w:rsid w:val="00F57351"/>
    <w:rsid w:val="00F6428B"/>
    <w:rsid w:val="00F66F1E"/>
    <w:rsid w:val="00F7784F"/>
    <w:rsid w:val="00F921FC"/>
    <w:rsid w:val="00F93FAB"/>
    <w:rsid w:val="00FA1E4D"/>
    <w:rsid w:val="00FA6D98"/>
    <w:rsid w:val="00FB1384"/>
    <w:rsid w:val="00FB5E96"/>
    <w:rsid w:val="00FC26AD"/>
    <w:rsid w:val="00FD0422"/>
    <w:rsid w:val="00FE118A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4D8C"/>
  <w15:chartTrackingRefBased/>
  <w15:docId w15:val="{A313447D-D378-409C-B0FB-F42BB7A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BA"/>
    <w:pPr>
      <w:spacing w:line="25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6BA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5762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60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60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6028"/>
    <w:rPr>
      <w:rFonts w:ascii="Calibri" w:eastAsia="Times New Roman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60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602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5BEE-0147-447C-B8ED-CDB550BD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8F79E7DB.dotm</Template>
  <TotalTime>0</TotalTime>
  <Pages>2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DGCCRF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ÉMERY Nicolas (1B)</dc:creator>
  <cp:keywords/>
  <dc:description/>
  <cp:lastModifiedBy>ÉMERY Nicolas (1B)</cp:lastModifiedBy>
  <cp:revision>2</cp:revision>
  <cp:lastPrinted>2019-02-13T14:31:00Z</cp:lastPrinted>
  <dcterms:created xsi:type="dcterms:W3CDTF">2019-02-19T09:11:00Z</dcterms:created>
  <dcterms:modified xsi:type="dcterms:W3CDTF">2019-02-19T09:11:00Z</dcterms:modified>
</cp:coreProperties>
</file>