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theme="majorBidi"/>
          <w:sz w:val="24"/>
          <w:szCs w:val="24"/>
        </w:rPr>
        <w:id w:val="1270734702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b/>
          <w:sz w:val="16"/>
          <w:szCs w:val="16"/>
        </w:rPr>
      </w:sdtEndPr>
      <w:sdtContent>
        <w:p w:rsidR="00BF7A7D" w:rsidRPr="00BF7A7D" w:rsidRDefault="0061647D" w:rsidP="00D26894">
          <w:pPr>
            <w:pStyle w:val="Sansinterligne"/>
            <w:rPr>
              <w:rFonts w:eastAsiaTheme="majorEastAsia" w:cstheme="majorBidi"/>
            </w:rPr>
          </w:pPr>
          <w:r w:rsidRPr="007E438F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230EEBB" wp14:editId="4A4336C1">
                    <wp:simplePos x="0" y="0"/>
                    <wp:positionH relativeFrom="column">
                      <wp:posOffset>-183515</wp:posOffset>
                    </wp:positionH>
                    <wp:positionV relativeFrom="paragraph">
                      <wp:posOffset>-95885</wp:posOffset>
                    </wp:positionV>
                    <wp:extent cx="6962775" cy="762000"/>
                    <wp:effectExtent l="0" t="0" r="28575" b="19050"/>
                    <wp:wrapNone/>
                    <wp:docPr id="1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2775" cy="76200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214" w:rsidRPr="009658FD" w:rsidRDefault="00E84247" w:rsidP="009658FD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ccords de libre-échange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entre 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l’Union Européenne et les pays tiers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: Consultation sur leur mise en œuvre.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-14.45pt;margin-top:-7.55pt;width:548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" fillcolor="#c6d9f1" strokecolor="#4f81bd">
                    <v:textbox>
                      <w:txbxContent>
                        <w:p w:rsidR="00A05214" w:rsidRPr="009658FD" w:rsidRDefault="00E84247" w:rsidP="009658FD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ccords de libre-échange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entre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l’Union Européenne et les pays tiers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: Consultation sur leur mise en œuvre.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BF7A7D" w:rsidRPr="00BF7A7D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0F985425" wp14:editId="61E0D499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-33655</wp:posOffset>
                    </wp:positionV>
                    <wp:extent cx="8161020" cy="822960"/>
                    <wp:effectExtent l="0" t="0" r="24765" b="1397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3181" w:rsidRDefault="00D93181" w:rsidP="00D93181">
                                <w:pPr>
                                  <w:ind w:left="851"/>
                                </w:pPr>
                              </w:p>
                              <w:p w:rsidR="00FA2E0F" w:rsidRDefault="00AB028D" w:rsidP="00AB028D">
                                <w:pPr>
                                  <w:ind w:left="426"/>
                                  <w:rPr>
                                    <w:b/>
                                    <w:i/>
                                    <w:caps/>
                                    <w:color w:val="000000" w:themeColor="text1"/>
                                    <w:sz w:val="40"/>
                                    <w:szCs w:val="40"/>
                                    <w14:glow w14:rad="228600">
                                      <w14:schemeClr w14:val="accent5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QTGaromand" w:hAnsi="QTGaromand"/>
                                    <w:noProof/>
                                    <w:position w:val="-34"/>
                                    <w:lang w:eastAsia="fr-FR"/>
                                  </w:rPr>
                                  <w:drawing>
                                    <wp:inline distT="0" distB="0" distL="0" distR="0" wp14:anchorId="35EE5AA6" wp14:editId="14185E0F">
                                      <wp:extent cx="638175" cy="485775"/>
                                      <wp:effectExtent l="0" t="0" r="9525" b="9525"/>
                                      <wp:docPr id="7" name="Imag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817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B028D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A142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DIECCTE </w:t>
                                </w:r>
                                <w:r w:rsidR="0056589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de Guadeloupe</w:t>
                                </w:r>
                                <w:r w:rsidR="00FA2E0F">
                                  <w:rPr>
                                    <w:b/>
                                    <w:i/>
                                    <w:color w:val="000000" w:themeColor="text1"/>
                                    <w:sz w:val="40"/>
                                    <w:szCs w:val="40"/>
                                    <w14:glow w14:rad="228600">
                                      <w14:schemeClr w14:val="accent5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  <w:t xml:space="preserve">  </w:t>
                                </w:r>
                                <w:r w:rsidR="00565892">
                                  <w:rPr>
                                    <w:b/>
                                    <w:i/>
                                    <w:color w:val="000000" w:themeColor="text1"/>
                                    <w:sz w:val="40"/>
                                    <w:szCs w:val="40"/>
                                    <w14:glow w14:rad="228600">
                                      <w14:schemeClr w14:val="accent5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  <w:t xml:space="preserve"> </w:t>
                                </w:r>
                                <w:r w:rsidRPr="00FA2E0F">
                                  <w:rPr>
                                    <w:rFonts w:ascii="Arial Black" w:eastAsia="Batang" w:hAnsi="Arial Black" w:cs="Aharoni"/>
                                    <w:b/>
                                    <w:i/>
                                    <w:caps/>
                                    <w:color w:val="000000" w:themeColor="text1"/>
                                    <w:sz w:val="32"/>
                                    <w:szCs w:val="32"/>
                                    <w14:glow w14:rad="228600">
                                      <w14:schemeClr w14:val="accent5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REGARDS </w:t>
                                </w:r>
                                <w:r w:rsidR="009658FD">
                                  <w:rPr>
                                    <w:rFonts w:ascii="Arial Black" w:eastAsia="Batang" w:hAnsi="Arial Black" w:cs="Aharoni"/>
                                    <w:b/>
                                    <w:i/>
                                    <w:caps/>
                                    <w:color w:val="000000" w:themeColor="text1"/>
                                    <w:sz w:val="32"/>
                                    <w:szCs w:val="32"/>
                                    <w14:glow w14:rad="228600">
                                      <w14:schemeClr w14:val="accent5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 l’international</w:t>
                                </w:r>
                              </w:p>
                              <w:p w:rsidR="00D93181" w:rsidRPr="00D93181" w:rsidRDefault="0061647D" w:rsidP="00AB028D">
                                <w:pPr>
                                  <w:ind w:left="426"/>
                                  <w:rPr>
                                    <w:b/>
                                    <w:i/>
                                    <w:sz w:val="40"/>
                                    <w:szCs w:val="40"/>
                                  </w:rPr>
                                </w:pPr>
                                <w:r w:rsidRPr="0089194C">
                                  <w:rPr>
                                    <w:b/>
                                    <w:i/>
                                    <w:caps/>
                                    <w:color w:val="000000" w:themeColor="text1"/>
                                    <w:sz w:val="40"/>
                                    <w:szCs w:val="40"/>
                                    <w14:glow w14:rad="228600">
                                      <w14:schemeClr w14:val="accent5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7" style="position:absolute;margin-left:0;margin-top:-2.65pt;width:642.6pt;height:64.8pt;z-index:2516695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" o:allowincell="f" fillcolor="#4bacc6 [3208]" strokecolor="#4f81bd [3204]">
                    <v:textbox>
                      <w:txbxContent>
                        <w:p w:rsidR="00D93181" w:rsidRDefault="00D93181" w:rsidP="00D93181">
                          <w:pPr>
                            <w:ind w:left="851"/>
                          </w:pPr>
                        </w:p>
                        <w:p w:rsidR="00FA2E0F" w:rsidRDefault="00AB028D" w:rsidP="00AB028D">
                          <w:pPr>
                            <w:ind w:left="426"/>
                            <w:rPr>
                              <w:b/>
                              <w:i/>
                              <w:caps/>
                              <w:color w:val="000000" w:themeColor="text1"/>
                              <w:sz w:val="40"/>
                              <w:szCs w:val="40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QTGaromand" w:hAnsi="QTGaromand"/>
                              <w:noProof/>
                              <w:position w:val="-34"/>
                              <w:lang w:eastAsia="fr-FR"/>
                            </w:rPr>
                            <w:drawing>
                              <wp:inline distT="0" distB="0" distL="0" distR="0" wp14:anchorId="35EE5AA6" wp14:editId="14185E0F">
                                <wp:extent cx="638175" cy="485775"/>
                                <wp:effectExtent l="0" t="0" r="9525" b="9525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B028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1424">
                            <w:rPr>
                              <w:i/>
                              <w:sz w:val="18"/>
                              <w:szCs w:val="18"/>
                            </w:rPr>
                            <w:t xml:space="preserve">DIECCTE </w:t>
                          </w:r>
                          <w:r w:rsidR="00565892">
                            <w:rPr>
                              <w:i/>
                              <w:sz w:val="18"/>
                              <w:szCs w:val="18"/>
                            </w:rPr>
                            <w:t>de Guadeloupe</w:t>
                          </w:r>
                          <w:r w:rsidR="00FA2E0F">
                            <w:rPr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  <w:t xml:space="preserve">  </w:t>
                          </w:r>
                          <w:r w:rsidR="00565892">
                            <w:rPr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  <w:t xml:space="preserve"> </w:t>
                          </w:r>
                          <w:r w:rsidRPr="00FA2E0F">
                            <w:rPr>
                              <w:rFonts w:ascii="Arial Black" w:eastAsia="Batang" w:hAnsi="Arial Black" w:cs="Aharoni"/>
                              <w:b/>
                              <w:i/>
                              <w:caps/>
                              <w:color w:val="000000" w:themeColor="text1"/>
                              <w:sz w:val="32"/>
                              <w:szCs w:val="32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REGARDS </w:t>
                          </w:r>
                          <w:r w:rsidR="009658FD">
                            <w:rPr>
                              <w:rFonts w:ascii="Arial Black" w:eastAsia="Batang" w:hAnsi="Arial Black" w:cs="Aharoni"/>
                              <w:b/>
                              <w:i/>
                              <w:caps/>
                              <w:color w:val="000000" w:themeColor="text1"/>
                              <w:sz w:val="32"/>
                              <w:szCs w:val="32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 l’international</w:t>
                          </w:r>
                        </w:p>
                        <w:p w:rsidR="00D93181" w:rsidRPr="00D93181" w:rsidRDefault="0061647D" w:rsidP="00AB028D">
                          <w:pPr>
                            <w:ind w:left="426"/>
                            <w:rPr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89194C">
                            <w:rPr>
                              <w:b/>
                              <w:i/>
                              <w:caps/>
                              <w:color w:val="000000" w:themeColor="text1"/>
                              <w:sz w:val="40"/>
                              <w:szCs w:val="40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BF7A7D" w:rsidRPr="00BF7A7D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0948E487" wp14:editId="4C73B49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A78RIh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BF7A7D" w:rsidRPr="00BF7A7D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0DE3920C" wp14:editId="6E6688A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eastAsiaTheme="majorEastAsia"/>
              </w:rPr>
              <w:alias w:val="Titre"/>
              <w:id w:val="147000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21F23">
                <w:rPr>
                  <w:rFonts w:eastAsiaTheme="majorEastAsia"/>
                </w:rPr>
                <w:t xml:space="preserve">     </w:t>
              </w:r>
            </w:sdtContent>
          </w:sdt>
        </w:p>
        <w:p w:rsidR="00BF7A7D" w:rsidRDefault="00BF7A7D">
          <w:pPr>
            <w:sectPr w:rsidR="00BF7A7D" w:rsidSect="00BF7A7D">
              <w:headerReference w:type="default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276" w:right="849" w:bottom="1418" w:left="709" w:header="709" w:footer="709" w:gutter="0"/>
              <w:pgNumType w:start="0"/>
              <w:cols w:space="142"/>
              <w:titlePg/>
              <w:docGrid w:linePitch="360"/>
            </w:sectPr>
          </w:pPr>
        </w:p>
        <w:p w:rsidR="00BE7E6E" w:rsidRDefault="00BE7E6E" w:rsidP="00492370">
          <w:pPr>
            <w:ind w:firstLine="0"/>
            <w:contextualSpacing/>
            <w:rPr>
              <w:i/>
            </w:rPr>
          </w:pPr>
        </w:p>
        <w:p w:rsidR="000B76A5" w:rsidRPr="000B76A5" w:rsidRDefault="000B76A5" w:rsidP="00492370">
          <w:pPr>
            <w:ind w:firstLine="0"/>
            <w:contextualSpacing/>
            <w:rPr>
              <w:i/>
              <w:sz w:val="16"/>
              <w:szCs w:val="16"/>
            </w:rPr>
          </w:pPr>
        </w:p>
        <w:p w:rsidR="006E5AF6" w:rsidRDefault="006E5AF6" w:rsidP="00492370">
          <w:pPr>
            <w:ind w:firstLine="0"/>
            <w:contextualSpacing/>
            <w:rPr>
              <w:i/>
            </w:rPr>
            <w:sectPr w:rsidR="006E5AF6" w:rsidSect="006E5AF6">
              <w:headerReference w:type="default" r:id="rId16"/>
              <w:footerReference w:type="default" r:id="rId17"/>
              <w:type w:val="continuous"/>
              <w:pgSz w:w="11906" w:h="16838"/>
              <w:pgMar w:top="1276" w:right="849" w:bottom="993" w:left="709" w:header="709" w:footer="709" w:gutter="0"/>
              <w:pgNumType w:start="0"/>
              <w:cols w:num="2" w:space="142"/>
              <w:titlePg/>
              <w:docGrid w:linePitch="360"/>
            </w:sectPr>
          </w:pPr>
        </w:p>
        <w:p w:rsidR="00032CE5" w:rsidRDefault="00032CE5" w:rsidP="00032CE5">
          <w:pPr>
            <w:ind w:firstLine="0"/>
            <w:contextualSpacing/>
            <w:jc w:val="both"/>
            <w:rPr>
              <w:rFonts w:cstheme="minorHAnsi"/>
              <w:i/>
            </w:rPr>
          </w:pPr>
        </w:p>
        <w:p w:rsidR="00032CE5" w:rsidRDefault="00032CE5" w:rsidP="00032CE5">
          <w:pPr>
            <w:ind w:firstLine="0"/>
            <w:contextualSpacing/>
            <w:jc w:val="both"/>
            <w:rPr>
              <w:rFonts w:cstheme="minorHAnsi"/>
              <w:i/>
            </w:rPr>
          </w:pPr>
        </w:p>
        <w:p w:rsidR="00713DCD" w:rsidRDefault="00032CE5" w:rsidP="007D7224">
          <w:pPr>
            <w:ind w:firstLine="0"/>
            <w:contextualSpacing/>
            <w:jc w:val="both"/>
            <w:rPr>
              <w:rFonts w:cstheme="minorHAnsi"/>
            </w:rPr>
          </w:pPr>
          <w:r>
            <w:rPr>
              <w:rFonts w:cstheme="minorHAnsi"/>
              <w:i/>
            </w:rPr>
            <w:t xml:space="preserve"> </w:t>
          </w:r>
          <w:r w:rsidR="009238E2" w:rsidRPr="009238E2">
            <w:rPr>
              <w:rFonts w:cstheme="minorHAnsi"/>
            </w:rPr>
            <w:t xml:space="preserve">Les accords commerciaux permettent de faciliter les échanges de biens et services entre les signataires. Leur contenu a évolué dans le temps. Elles peuvent comporter des clauses d’accès aux marchés publics, le rapprochement des réglementations et/ou la réduction des freins et des risques à l’investissement. </w:t>
          </w:r>
        </w:p>
        <w:p w:rsidR="009238E2" w:rsidRDefault="009238E2" w:rsidP="007D7224">
          <w:pPr>
            <w:ind w:firstLine="0"/>
            <w:contextualSpacing/>
            <w:jc w:val="both"/>
          </w:pPr>
          <w:r w:rsidRPr="009238E2">
            <w:rPr>
              <w:rFonts w:cstheme="minorHAnsi"/>
            </w:rPr>
            <w:t>Mais l’objectif principal est</w:t>
          </w:r>
          <w:r>
            <w:rPr>
              <w:rFonts w:cstheme="minorHAnsi"/>
              <w:i/>
            </w:rPr>
            <w:t> : « </w:t>
          </w:r>
          <w:r w:rsidRPr="00EA1DAD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fr-FR"/>
            </w:rPr>
            <w:t>de se doter d’un environnement plus propice à la croissance pour que chaque Etat puisse tirer profit de ses avantages comparatifs</w:t>
          </w:r>
          <w:r w:rsidRPr="009238E2">
            <w:rPr>
              <w:rFonts w:ascii="Times New Roman" w:eastAsia="Times New Roman" w:hAnsi="Times New Roman" w:cs="Times New Roman"/>
              <w:b/>
              <w:i/>
              <w:iCs/>
              <w:sz w:val="16"/>
              <w:szCs w:val="16"/>
              <w:vertAlign w:val="superscript"/>
              <w:lang w:eastAsia="fr-FR"/>
            </w:rPr>
            <w:t>1</w:t>
          </w:r>
          <w:r>
            <w:rPr>
              <w:rFonts w:cstheme="minorHAnsi"/>
              <w:i/>
            </w:rPr>
            <w:t>»</w:t>
          </w:r>
        </w:p>
        <w:p w:rsidR="009238E2" w:rsidRDefault="009238E2" w:rsidP="007D7224">
          <w:pPr>
            <w:tabs>
              <w:tab w:val="left" w:pos="0"/>
            </w:tabs>
            <w:jc w:val="both"/>
          </w:pPr>
        </w:p>
        <w:p w:rsidR="008D14CE" w:rsidRDefault="007D7224" w:rsidP="007D7224">
          <w:pPr>
            <w:tabs>
              <w:tab w:val="left" w:pos="0"/>
            </w:tabs>
            <w:ind w:firstLine="0"/>
            <w:jc w:val="both"/>
          </w:pPr>
          <w:r>
            <w:t>Plus de 30 accords</w:t>
          </w:r>
          <w:r w:rsidRPr="00713DCD">
            <w:rPr>
              <w:sz w:val="16"/>
              <w:szCs w:val="16"/>
              <w:vertAlign w:val="superscript"/>
            </w:rPr>
            <w:t>2</w:t>
          </w:r>
          <w:r>
            <w:t xml:space="preserve"> sont en vigueur entre l’UE et des pays tiers. </w:t>
          </w:r>
          <w:r w:rsidR="00EE34B3">
            <w:t>Deux rapports réc</w:t>
          </w:r>
          <w:r w:rsidR="008D14CE">
            <w:t>ents, un de la Commission européenne en novembre 2017 et un de la CNUCED</w:t>
          </w:r>
          <w:r w:rsidRPr="007D7224">
            <w:rPr>
              <w:vertAlign w:val="superscript"/>
            </w:rPr>
            <w:t>3</w:t>
          </w:r>
          <w:r w:rsidR="008D14CE">
            <w:t xml:space="preserve"> de janvier 2018 ont relevé une sous-utilisation des préférences commerciales par les entreprises européennes, et notamment les PME.</w:t>
          </w:r>
        </w:p>
        <w:p w:rsidR="007D7224" w:rsidRDefault="007D7224" w:rsidP="007D7224">
          <w:pPr>
            <w:tabs>
              <w:tab w:val="left" w:pos="0"/>
            </w:tabs>
            <w:ind w:firstLine="0"/>
            <w:jc w:val="both"/>
          </w:pPr>
        </w:p>
        <w:p w:rsidR="007D7224" w:rsidRDefault="007D7224" w:rsidP="007D7224">
          <w:pPr>
            <w:tabs>
              <w:tab w:val="left" w:pos="0"/>
            </w:tabs>
            <w:ind w:firstLine="0"/>
            <w:jc w:val="both"/>
          </w:pPr>
          <w:r>
            <w:t>Partant de ce constat, une grande consultation nationale est lancée auprès des entreprises françaises pour recueillir des données sur trois points :</w:t>
          </w:r>
        </w:p>
        <w:p w:rsidR="007D7224" w:rsidRDefault="007D7224" w:rsidP="007D7224">
          <w:pPr>
            <w:tabs>
              <w:tab w:val="left" w:pos="0"/>
            </w:tabs>
            <w:ind w:firstLine="0"/>
            <w:jc w:val="both"/>
          </w:pPr>
        </w:p>
        <w:p w:rsidR="007D7224" w:rsidRDefault="007D7224" w:rsidP="007D7224">
          <w:pPr>
            <w:tabs>
              <w:tab w:val="left" w:pos="0"/>
            </w:tabs>
            <w:ind w:firstLine="0"/>
            <w:jc w:val="both"/>
          </w:pPr>
        </w:p>
        <w:p w:rsidR="008D14CE" w:rsidRDefault="008D14CE" w:rsidP="007D7224">
          <w:pPr>
            <w:tabs>
              <w:tab w:val="left" w:pos="0"/>
            </w:tabs>
            <w:ind w:firstLine="0"/>
            <w:jc w:val="both"/>
          </w:pPr>
          <w:r>
            <w:t xml:space="preserve">1) améliorer l’utilisation de ces préférences commerciales et réduire le manque à gagner pour les entreprises, </w:t>
          </w:r>
        </w:p>
        <w:p w:rsidR="008D14CE" w:rsidRDefault="008D14CE" w:rsidP="007D7224">
          <w:pPr>
            <w:tabs>
              <w:tab w:val="left" w:pos="0"/>
            </w:tabs>
            <w:ind w:firstLine="0"/>
            <w:jc w:val="both"/>
          </w:pPr>
          <w:r>
            <w:t xml:space="preserve">2) mieux comprendre les difficultés administratives rencontrées le cas </w:t>
          </w:r>
          <w:r w:rsidR="005A1CCD">
            <w:t>échéant,</w:t>
          </w:r>
        </w:p>
        <w:p w:rsidR="008D14CE" w:rsidRDefault="008D14CE" w:rsidP="007D7224">
          <w:pPr>
            <w:tabs>
              <w:tab w:val="left" w:pos="0"/>
            </w:tabs>
            <w:ind w:firstLine="0"/>
            <w:jc w:val="both"/>
          </w:pPr>
          <w:r>
            <w:t>3) améliorer la communication et la mise en œuvre des accords commerciaux négociés au niveau européen.</w:t>
          </w:r>
        </w:p>
        <w:p w:rsidR="008D14CE" w:rsidRDefault="008D14CE" w:rsidP="007D7224">
          <w:pPr>
            <w:tabs>
              <w:tab w:val="left" w:pos="0"/>
            </w:tabs>
            <w:ind w:firstLine="0"/>
            <w:jc w:val="both"/>
          </w:pPr>
        </w:p>
        <w:p w:rsidR="007D7224" w:rsidRDefault="007D7224" w:rsidP="007D7224">
          <w:pPr>
            <w:tabs>
              <w:tab w:val="left" w:pos="0"/>
            </w:tabs>
            <w:ind w:firstLine="0"/>
            <w:jc w:val="both"/>
          </w:pPr>
          <w:r>
            <w:t>Les résultats de cette consultation auront vocation à être transmis à la Commission européenne.</w:t>
          </w:r>
        </w:p>
        <w:p w:rsidR="007D7224" w:rsidRDefault="007D7224" w:rsidP="007D7224">
          <w:pPr>
            <w:tabs>
              <w:tab w:val="left" w:pos="0"/>
            </w:tabs>
            <w:ind w:firstLine="0"/>
            <w:jc w:val="both"/>
          </w:pPr>
        </w:p>
        <w:p w:rsidR="007D7224" w:rsidRDefault="005A1CCD" w:rsidP="007D7224">
          <w:pPr>
            <w:tabs>
              <w:tab w:val="left" w:pos="0"/>
            </w:tabs>
            <w:ind w:firstLine="0"/>
            <w:jc w:val="both"/>
          </w:pPr>
          <w:r>
            <w:t xml:space="preserve">Cette </w:t>
          </w:r>
          <w:r w:rsidRPr="007D7224">
            <w:rPr>
              <w:b/>
              <w:color w:val="C0504D" w:themeColor="accent2"/>
            </w:rPr>
            <w:t>consultation est ouverte jusqu’au 30 juin 2018</w:t>
          </w:r>
          <w:r w:rsidRPr="007D7224">
            <w:rPr>
              <w:color w:val="C0504D" w:themeColor="accent2"/>
            </w:rPr>
            <w:t xml:space="preserve"> </w:t>
          </w:r>
          <w:r w:rsidRPr="007D7224">
            <w:rPr>
              <w:u w:val="single"/>
            </w:rPr>
            <w:t>à toutes les entreprises</w:t>
          </w:r>
          <w:r>
            <w:t xml:space="preserve">, </w:t>
          </w:r>
          <w:r w:rsidRPr="007D7224">
            <w:rPr>
              <w:b/>
              <w:color w:val="C0504D" w:themeColor="accent2"/>
            </w:rPr>
            <w:t>à partir du lien</w:t>
          </w:r>
          <w:r>
            <w:t xml:space="preserve"> suivant :</w:t>
          </w:r>
        </w:p>
        <w:p w:rsidR="005A1CCD" w:rsidRDefault="005A1CCD" w:rsidP="007D7224">
          <w:pPr>
            <w:tabs>
              <w:tab w:val="left" w:pos="0"/>
            </w:tabs>
            <w:ind w:firstLine="0"/>
            <w:jc w:val="both"/>
          </w:pPr>
          <w:r>
            <w:t xml:space="preserve"> </w:t>
          </w:r>
          <w:hyperlink r:id="rId18" w:history="1">
            <w:r>
              <w:rPr>
                <w:rStyle w:val="Lienhypertexte"/>
              </w:rPr>
              <w:t>https://www.galileo.finances.gouv.fr/index.php/426479/newtest/Y/lang/fr</w:t>
            </w:r>
          </w:hyperlink>
        </w:p>
        <w:p w:rsidR="005A1CCD" w:rsidRDefault="005A1CCD" w:rsidP="007D7224">
          <w:pPr>
            <w:tabs>
              <w:tab w:val="left" w:pos="0"/>
            </w:tabs>
            <w:ind w:firstLine="0"/>
            <w:jc w:val="both"/>
          </w:pPr>
          <w:bookmarkStart w:id="0" w:name="_GoBack"/>
          <w:bookmarkEnd w:id="0"/>
        </w:p>
        <w:p w:rsidR="000B1B6A" w:rsidRPr="007D7224" w:rsidRDefault="000B1B6A" w:rsidP="007D7224">
          <w:pPr>
            <w:tabs>
              <w:tab w:val="left" w:pos="0"/>
            </w:tabs>
            <w:jc w:val="both"/>
            <w:rPr>
              <w:rFonts w:cstheme="minorHAnsi"/>
              <w:sz w:val="16"/>
              <w:szCs w:val="16"/>
            </w:rPr>
          </w:pPr>
        </w:p>
        <w:p w:rsidR="00CC1968" w:rsidRDefault="00CC1968" w:rsidP="003B7774">
          <w:pPr>
            <w:shd w:val="clear" w:color="auto" w:fill="FFFFFF"/>
            <w:ind w:firstLine="0"/>
            <w:contextualSpacing/>
            <w:jc w:val="both"/>
            <w:rPr>
              <w:rFonts w:cstheme="minorHAnsi"/>
              <w:b/>
            </w:rPr>
            <w:sectPr w:rsidR="00CC1968" w:rsidSect="007D7224">
              <w:type w:val="continuous"/>
              <w:pgSz w:w="11906" w:h="16838"/>
              <w:pgMar w:top="1276" w:right="991" w:bottom="993" w:left="709" w:header="709" w:footer="709" w:gutter="0"/>
              <w:pgNumType w:start="0"/>
              <w:cols w:num="2" w:space="426"/>
              <w:titlePg/>
              <w:docGrid w:linePitch="360"/>
            </w:sectPr>
          </w:pPr>
        </w:p>
        <w:tbl>
          <w:tblPr>
            <w:tblStyle w:val="Grilledutableau"/>
            <w:tblW w:w="10064" w:type="dxa"/>
            <w:tblInd w:w="250" w:type="dxa"/>
            <w:tblLook w:val="04A0" w:firstRow="1" w:lastRow="0" w:firstColumn="1" w:lastColumn="0" w:noHBand="0" w:noVBand="1"/>
          </w:tblPr>
          <w:tblGrid>
            <w:gridCol w:w="5670"/>
            <w:gridCol w:w="4394"/>
          </w:tblGrid>
          <w:tr w:rsidR="00B02236" w:rsidTr="00EE34B3">
            <w:trPr>
              <w:trHeight w:val="6470"/>
            </w:trPr>
            <w:tc>
              <w:tcPr>
                <w:tcW w:w="5670" w:type="dxa"/>
              </w:tcPr>
              <w:p w:rsidR="005A1CCD" w:rsidRDefault="00545903" w:rsidP="00DA3FCE">
                <w:pPr>
                  <w:spacing w:after="100" w:afterAutospacing="1"/>
                  <w:ind w:firstLine="0"/>
                  <w:contextualSpacing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u w:val="single"/>
                    <w:lang w:eastAsia="fr-FR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2D6786C3" wp14:editId="77A9A03B">
                          <wp:simplePos x="0" y="0"/>
                          <wp:positionH relativeFrom="column">
                            <wp:posOffset>-342265</wp:posOffset>
                          </wp:positionH>
                          <wp:positionV relativeFrom="paragraph">
                            <wp:posOffset>187959</wp:posOffset>
                          </wp:positionV>
                          <wp:extent cx="3848100" cy="3857625"/>
                          <wp:effectExtent l="57150" t="38100" r="76200" b="104775"/>
                          <wp:wrapNone/>
                          <wp:docPr id="15" name="Parchemin vertical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848100" cy="3857625"/>
                                  </a:xfrm>
                                  <a:prstGeom prst="verticalScroll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45903" w:rsidRDefault="005A1CCD" w:rsidP="00713DCD">
                                      <w:pPr>
                                        <w:ind w:firstLine="0"/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 xml:space="preserve">Consultation nationale </w:t>
                                      </w:r>
                                      <w:r w:rsidR="00545903">
                                        <w:rPr>
                                          <w:rFonts w:ascii="Arial Black" w:hAnsi="Arial Black"/>
                                        </w:rPr>
                                        <w:t xml:space="preserve">jusqu’au 30 juin 2018 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sur la mise en œuvre des accords de libre-échange entre l’</w:t>
                                      </w:r>
                                      <w:r w:rsidR="00545903">
                                        <w:rPr>
                                          <w:rFonts w:ascii="Arial Black" w:hAnsi="Arial Black"/>
                                        </w:rPr>
                                        <w:t>UE et les pays tiers.</w:t>
                                      </w:r>
                                    </w:p>
                                    <w:p w:rsidR="00545903" w:rsidRDefault="00545903" w:rsidP="00713DCD">
                                      <w:pPr>
                                        <w:ind w:firstLine="0"/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</w:p>
                                    <w:p w:rsidR="005A1CCD" w:rsidRDefault="00545903" w:rsidP="00545903">
                                      <w:pPr>
                                        <w:ind w:firstLine="0"/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 xml:space="preserve">Accès via le lien : </w:t>
                                      </w:r>
                                      <w:hyperlink r:id="rId19" w:history="1">
                                        <w:r w:rsidRPr="005154E0">
                                          <w:rPr>
                                            <w:rStyle w:val="Lienhypertexte"/>
                                          </w:rPr>
                                          <w:t>https://www.galileo.finances.gouv.fr/index.php/426479/newtest/Y/lang/fr</w:t>
                                        </w:r>
                                      </w:hyperlink>
                                    </w:p>
                                    <w:p w:rsidR="005A1CCD" w:rsidRPr="000E3FD8" w:rsidRDefault="005A1CCD" w:rsidP="000E3FD8">
                                      <w:pPr>
                                        <w:ind w:firstLine="357"/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  <v:formulas>
                            <v:f eqn="sum height 0 #0"/>
                            <v:f eqn="val #0"/>
                            <v:f eqn="prod @1 1 2"/>
                            <v:f eqn="prod @1 3 4"/>
                            <v:f eqn="prod @1 5 4"/>
                            <v:f eqn="prod @1 3 2"/>
                            <v:f eqn="prod @1 2 1"/>
                            <v:f eqn="sum height 0 @2"/>
                            <v:f eqn="sum height 0 @3"/>
                            <v:f eqn="sum width 0 @5"/>
                            <v:f eqn="sum width 0 @1"/>
                            <v:f eqn="sum width 0 @2"/>
                            <v:f eqn="val height"/>
                            <v:f eqn="prod height 1 2"/>
                            <v:f eqn="prod width 1 2"/>
                          </v:formulas>
                          <v:path o:extrusionok="f" limo="10800,10800" o:connecttype="custom" o:connectlocs="@14,0;@1,@13;@14,@12;@10,@13" o:connectangles="270,180,90,0" textboxrect="@1,@1,@10,@7"/>
                          <v:handles>
                            <v:h position="topLeft,#0" yrange="0,5400"/>
                          </v:handles>
                          <o:complex v:ext="view"/>
                        </v:shapetype>
                        <v:shape id="Parchemin vertical 15" o:spid="_x0000_s1028" type="#_x0000_t97" style="position:absolute;margin-left:-26.95pt;margin-top:14.8pt;width:303pt;height:3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" fillcolor="#cdddac [1622]" strokecolor="#94b64e [3046]">
                          <v:fill color2="#f0f4e6 [502]" rotate="t" angle="180" colors="0 #dafda7;22938f #e4fdc2;1 #f5ffe6" focus="100%" type="gradient"/>
                          <v:shadow on="t" color="black" opacity="24903f" origin=",.5" offset="0,.55556mm"/>
                          <v:textbox>
                            <w:txbxContent>
                              <w:p w:rsidR="00545903" w:rsidRDefault="005A1CCD" w:rsidP="00713DCD">
                                <w:pPr>
                                  <w:ind w:firstLine="0"/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 xml:space="preserve">Consultation nationale </w:t>
                                </w:r>
                                <w:r w:rsidR="00545903">
                                  <w:rPr>
                                    <w:rFonts w:ascii="Arial Black" w:hAnsi="Arial Black"/>
                                  </w:rPr>
                                  <w:t xml:space="preserve">jusqu’au 30 juin 2018 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sur la mise en œuvre des accords de libre-échange entre l’</w:t>
                                </w:r>
                                <w:r w:rsidR="00545903">
                                  <w:rPr>
                                    <w:rFonts w:ascii="Arial Black" w:hAnsi="Arial Black"/>
                                  </w:rPr>
                                  <w:t>UE et les pays tiers.</w:t>
                                </w:r>
                              </w:p>
                              <w:p w:rsidR="00545903" w:rsidRDefault="00545903" w:rsidP="00713DCD">
                                <w:pPr>
                                  <w:ind w:firstLine="0"/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</w:p>
                              <w:p w:rsidR="005A1CCD" w:rsidRDefault="00545903" w:rsidP="00545903">
                                <w:pPr>
                                  <w:ind w:firstLine="0"/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 xml:space="preserve">Accès via le lien : </w:t>
                                </w:r>
                                <w:hyperlink r:id="rId20" w:history="1">
                                  <w:r w:rsidRPr="005154E0">
                                    <w:rPr>
                                      <w:rStyle w:val="Lienhypertexte"/>
                                    </w:rPr>
                                    <w:t>https://www.galileo.finances.gouv.fr/index.php/426479/newtest/Y/lang/fr</w:t>
                                  </w:r>
                                </w:hyperlink>
                              </w:p>
                              <w:p w:rsidR="005A1CCD" w:rsidRPr="000E3FD8" w:rsidRDefault="005A1CCD" w:rsidP="000E3FD8">
                                <w:pPr>
                                  <w:ind w:firstLine="357"/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4394" w:type="dxa"/>
              </w:tcPr>
              <w:p w:rsidR="007D7224" w:rsidRPr="007D7224" w:rsidRDefault="007D7224" w:rsidP="007D7224">
                <w:pPr>
                  <w:ind w:firstLine="0"/>
                  <w:contextualSpacing/>
                  <w:rPr>
                    <w:rFonts w:cstheme="minorHAnsi"/>
                    <w:b/>
                    <w:sz w:val="16"/>
                    <w:szCs w:val="16"/>
                    <w:u w:val="single"/>
                  </w:rPr>
                </w:pPr>
                <w:r w:rsidRPr="007D7224">
                  <w:rPr>
                    <w:rFonts w:cstheme="minorHAnsi"/>
                    <w:b/>
                    <w:sz w:val="16"/>
                    <w:szCs w:val="16"/>
                    <w:u w:val="single"/>
                  </w:rPr>
                  <w:t xml:space="preserve">Précisions </w:t>
                </w:r>
              </w:p>
              <w:p w:rsidR="007D7224" w:rsidRPr="007D7224" w:rsidRDefault="007D7224" w:rsidP="007D7224">
                <w:pPr>
                  <w:pStyle w:val="Paragraphedeliste"/>
                  <w:ind w:left="34" w:firstLine="0"/>
                  <w:rPr>
                    <w:rFonts w:cstheme="minorHAnsi"/>
                    <w:sz w:val="16"/>
                    <w:szCs w:val="16"/>
                  </w:rPr>
                </w:pPr>
                <w:r w:rsidRPr="007D7224">
                  <w:rPr>
                    <w:rFonts w:cstheme="minorHAnsi"/>
                    <w:sz w:val="16"/>
                    <w:szCs w:val="16"/>
                  </w:rPr>
                  <w:t>1. Propos de Sébastien  Jean : économiste au CEPII (Centre d’études prospectives et d'informations internationales, service du Premier ministre)</w:t>
                </w:r>
              </w:p>
              <w:p w:rsidR="007D7224" w:rsidRPr="007D7224" w:rsidRDefault="007D7224" w:rsidP="007D7224">
                <w:pPr>
                  <w:pStyle w:val="Paragraphedeliste"/>
                  <w:ind w:left="34" w:firstLine="0"/>
                  <w:rPr>
                    <w:rStyle w:val="st"/>
                    <w:rFonts w:cstheme="minorHAnsi"/>
                    <w:sz w:val="16"/>
                    <w:szCs w:val="16"/>
                  </w:rPr>
                </w:pPr>
                <w:r w:rsidRPr="007D7224">
                  <w:rPr>
                    <w:rFonts w:cstheme="minorHAnsi"/>
                    <w:sz w:val="16"/>
                    <w:szCs w:val="16"/>
                  </w:rPr>
                  <w:t xml:space="preserve">2. </w:t>
                </w:r>
                <w:r w:rsidR="00713DCD" w:rsidRPr="007D7224">
                  <w:rPr>
                    <w:rFonts w:cstheme="minorHAnsi"/>
                    <w:sz w:val="16"/>
                    <w:szCs w:val="16"/>
                  </w:rPr>
                  <w:t>voir pièce jointe</w:t>
                </w:r>
                <w:r w:rsidR="00713DCD" w:rsidRPr="007D7224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  <w:p w:rsidR="007D7224" w:rsidRPr="007D7224" w:rsidRDefault="007D7224" w:rsidP="007D7224">
                <w:pPr>
                  <w:pStyle w:val="Paragraphedeliste"/>
                  <w:ind w:left="34" w:firstLine="0"/>
                  <w:rPr>
                    <w:rFonts w:cstheme="minorHAnsi"/>
                    <w:sz w:val="16"/>
                    <w:szCs w:val="16"/>
                  </w:rPr>
                </w:pPr>
                <w:r w:rsidRPr="007D7224">
                  <w:rPr>
                    <w:rFonts w:cstheme="minorHAnsi"/>
                    <w:sz w:val="16"/>
                    <w:szCs w:val="16"/>
                  </w:rPr>
                  <w:t xml:space="preserve">3. </w:t>
                </w:r>
                <w:r w:rsidR="00713DCD" w:rsidRPr="007D7224">
                  <w:rPr>
                    <w:rFonts w:cstheme="minorHAnsi"/>
                    <w:sz w:val="16"/>
                    <w:szCs w:val="16"/>
                  </w:rPr>
                  <w:t xml:space="preserve">CNUCED : </w:t>
                </w:r>
                <w:r w:rsidR="00713DCD" w:rsidRPr="007D7224">
                  <w:rPr>
                    <w:rStyle w:val="st"/>
                    <w:rFonts w:cstheme="minorHAnsi"/>
                    <w:sz w:val="16"/>
                    <w:szCs w:val="16"/>
                  </w:rPr>
                  <w:t>Conférence des Nations Unies sur le commerce et le développement</w:t>
                </w:r>
              </w:p>
              <w:p w:rsidR="00545903" w:rsidRDefault="00545903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18"/>
                    <w:szCs w:val="18"/>
                  </w:rPr>
                </w:pPr>
              </w:p>
              <w:p w:rsidR="007D7224" w:rsidRDefault="007D7224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18"/>
                    <w:szCs w:val="18"/>
                  </w:rPr>
                </w:pPr>
              </w:p>
              <w:p w:rsidR="00EE34B3" w:rsidRDefault="00EE34B3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18"/>
                    <w:szCs w:val="18"/>
                  </w:rPr>
                </w:pPr>
              </w:p>
              <w:p w:rsidR="00B02236" w:rsidRPr="00E7375B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375B">
                  <w:rPr>
                    <w:rFonts w:cstheme="minorHAnsi"/>
                    <w:sz w:val="18"/>
                    <w:szCs w:val="18"/>
                  </w:rPr>
                  <w:t>Directeur de Publication : Louis MAZARI</w:t>
                </w:r>
              </w:p>
              <w:p w:rsidR="00B02236" w:rsidRPr="00E7375B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375B">
                  <w:rPr>
                    <w:rFonts w:cstheme="minorHAnsi"/>
                    <w:sz w:val="18"/>
                    <w:szCs w:val="18"/>
                  </w:rPr>
                  <w:t xml:space="preserve">Rédacteur : Marie-Lise MARCEL-ROCHE </w:t>
                </w:r>
              </w:p>
              <w:p w:rsidR="00B02236" w:rsidRPr="008D14CE" w:rsidRDefault="008D14CE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Mission Interrégionale d’Appui à l’international-</w:t>
                </w:r>
                <w:r w:rsidR="00B02236" w:rsidRPr="008D14CE">
                  <w:rPr>
                    <w:rFonts w:cstheme="minorHAnsi"/>
                    <w:sz w:val="18"/>
                    <w:szCs w:val="18"/>
                  </w:rPr>
                  <w:t xml:space="preserve"> MIAI -Pole 3</w:t>
                </w:r>
                <w:r w:rsidR="00B02236" w:rsidRPr="008D14CE">
                  <w:rPr>
                    <w:rFonts w:cstheme="minorHAnsi"/>
                    <w:sz w:val="18"/>
                    <w:szCs w:val="18"/>
                    <w:vertAlign w:val="superscript"/>
                  </w:rPr>
                  <w:t>E</w:t>
                </w:r>
              </w:p>
              <w:p w:rsidR="00B02236" w:rsidRPr="008D14CE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D14CE">
                  <w:rPr>
                    <w:rFonts w:cstheme="minorHAnsi"/>
                    <w:sz w:val="18"/>
                    <w:szCs w:val="18"/>
                  </w:rPr>
                  <w:t>DIECCTE de Guadeloupe</w:t>
                </w:r>
              </w:p>
              <w:p w:rsidR="00B02236" w:rsidRPr="00E7375B" w:rsidRDefault="00713DCD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</w:pPr>
                <w:hyperlink r:id="rId21" w:history="1">
                  <w:r w:rsidR="00B02236" w:rsidRPr="00E7375B">
                    <w:rPr>
                      <w:rStyle w:val="Lienhypertexte"/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http://www.guadeloupe.dieccte.gouv.fr</w:t>
                  </w:r>
                </w:hyperlink>
              </w:p>
              <w:p w:rsidR="00B02236" w:rsidRPr="00E7375B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</w:pPr>
                <w:r w:rsidRPr="00E7375B">
                  <w:rPr>
                    <w:rFonts w:eastAsia="Times New Roman" w:cstheme="minorHAnsi"/>
                    <w:bCs/>
                    <w:sz w:val="18"/>
                    <w:szCs w:val="18"/>
                  </w:rPr>
                  <w:t>Courriel</w:t>
                </w:r>
                <w:r w:rsidRPr="00E7375B"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  <w:t xml:space="preserve"> : </w:t>
                </w:r>
                <w:hyperlink r:id="rId22" w:history="1">
                  <w:r w:rsidRPr="00E7375B">
                    <w:rPr>
                      <w:rFonts w:eastAsia="Times New Roman" w:cstheme="minorHAnsi"/>
                      <w:b/>
                      <w:bCs/>
                      <w:color w:val="0000FF" w:themeColor="hyperlink"/>
                      <w:sz w:val="18"/>
                      <w:szCs w:val="18"/>
                      <w:u w:val="single"/>
                    </w:rPr>
                    <w:t>971.international@dieccte.gouv.fr</w:t>
                  </w:r>
                </w:hyperlink>
              </w:p>
              <w:p w:rsidR="00B02236" w:rsidRPr="00E7375B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375B">
                  <w:rPr>
                    <w:rFonts w:cstheme="minorHAnsi"/>
                    <w:sz w:val="18"/>
                    <w:szCs w:val="18"/>
                  </w:rPr>
                  <w:t xml:space="preserve">Date de publication : </w:t>
                </w:r>
                <w:r w:rsidR="008D14CE">
                  <w:rPr>
                    <w:rFonts w:cstheme="minorHAnsi"/>
                    <w:sz w:val="18"/>
                    <w:szCs w:val="18"/>
                  </w:rPr>
                  <w:t xml:space="preserve">juin </w:t>
                </w:r>
                <w:r w:rsidRPr="00E7375B">
                  <w:rPr>
                    <w:rFonts w:cstheme="minorHAnsi"/>
                    <w:sz w:val="18"/>
                    <w:szCs w:val="18"/>
                  </w:rPr>
                  <w:t>201</w:t>
                </w:r>
                <w:r w:rsidR="008D14CE">
                  <w:rPr>
                    <w:rFonts w:cstheme="minorHAnsi"/>
                    <w:sz w:val="18"/>
                    <w:szCs w:val="18"/>
                  </w:rPr>
                  <w:t>8</w:t>
                </w:r>
              </w:p>
              <w:p w:rsidR="00B02236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noProof/>
                    <w:lang w:eastAsia="fr-FR"/>
                  </w:rPr>
                  <w:drawing>
                    <wp:anchor distT="0" distB="0" distL="114300" distR="114300" simplePos="0" relativeHeight="251671552" behindDoc="0" locked="0" layoutInCell="1" allowOverlap="1" wp14:anchorId="4174FCE2" wp14:editId="401630E9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100331</wp:posOffset>
                      </wp:positionV>
                      <wp:extent cx="876300" cy="1041900"/>
                      <wp:effectExtent l="0" t="0" r="0" b="6350"/>
                      <wp:wrapNone/>
                      <wp:docPr id="5" name="Image 5" descr="logo_diecc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_diecc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5886" cy="104140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B02236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</w:p>
              <w:p w:rsidR="00B02236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</w:p>
              <w:p w:rsidR="00B02236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</w:p>
              <w:p w:rsidR="00B02236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</w:p>
              <w:p w:rsidR="00B02236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</w:p>
              <w:p w:rsidR="00B02236" w:rsidRDefault="00B02236" w:rsidP="00B02236">
                <w:pPr>
                  <w:pBdr>
                    <w:bar w:val="single" w:sz="4" w:color="auto"/>
                  </w:pBdr>
                  <w:spacing w:after="200" w:line="276" w:lineRule="auto"/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</w:p>
              <w:p w:rsidR="00B02236" w:rsidRDefault="00B02236" w:rsidP="00DA3FCE">
                <w:pPr>
                  <w:spacing w:after="100" w:afterAutospacing="1"/>
                  <w:ind w:firstLine="0"/>
                  <w:contextualSpacing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</w:p>
            </w:tc>
          </w:tr>
        </w:tbl>
        <w:p w:rsidR="00B02236" w:rsidRDefault="00B02236">
          <w:pPr>
            <w:spacing w:after="200" w:line="276" w:lineRule="auto"/>
            <w:rPr>
              <w:rFonts w:ascii="Arial" w:hAnsi="Arial" w:cs="Arial"/>
              <w:b/>
              <w:sz w:val="16"/>
              <w:szCs w:val="16"/>
            </w:rPr>
            <w:sectPr w:rsidR="00B02236" w:rsidSect="00B02236">
              <w:type w:val="continuous"/>
              <w:pgSz w:w="11906" w:h="16838"/>
              <w:pgMar w:top="1104" w:right="566" w:bottom="1417" w:left="709" w:header="708" w:footer="708" w:gutter="0"/>
              <w:cols w:space="708"/>
              <w:docGrid w:linePitch="360"/>
            </w:sectPr>
          </w:pPr>
        </w:p>
        <w:p w:rsidR="00BF7A7D" w:rsidRDefault="00713DCD">
          <w:pPr>
            <w:spacing w:after="200" w:line="276" w:lineRule="auto"/>
            <w:rPr>
              <w:rFonts w:ascii="Arial" w:hAnsi="Arial" w:cs="Arial"/>
              <w:b/>
              <w:sz w:val="16"/>
              <w:szCs w:val="16"/>
            </w:rPr>
          </w:pPr>
        </w:p>
      </w:sdtContent>
    </w:sdt>
    <w:p w:rsidR="00EA1DAD" w:rsidRDefault="00EA1DAD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p w:rsidR="00EA1DAD" w:rsidRDefault="00EA1DAD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p w:rsidR="00EA1DAD" w:rsidRDefault="00EA1DAD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sectPr w:rsidR="00EA1DAD" w:rsidSect="00545903">
      <w:type w:val="continuous"/>
      <w:pgSz w:w="11906" w:h="16838"/>
      <w:pgMar w:top="1104" w:right="566" w:bottom="993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44" w:rsidRDefault="00760944" w:rsidP="007E438F">
      <w:r>
        <w:separator/>
      </w:r>
    </w:p>
  </w:endnote>
  <w:endnote w:type="continuationSeparator" w:id="0">
    <w:p w:rsidR="00760944" w:rsidRDefault="00760944" w:rsidP="007E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TGaromand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863275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596293280"/>
          <w:docPartObj>
            <w:docPartGallery w:val="Page Numbers (Margins)"/>
            <w:docPartUnique/>
          </w:docPartObj>
        </w:sdtPr>
        <w:sdtEndPr/>
        <w:sdtContent>
          <w:p w:rsidR="00690B46" w:rsidRDefault="00E56AE7" w:rsidP="00690B46">
            <w:pPr>
              <w:pStyle w:val="Pieddepage"/>
              <w:rPr>
                <w:rFonts w:asciiTheme="majorHAnsi" w:eastAsiaTheme="majorEastAsia" w:hAnsiTheme="majorHAnsi" w:cstheme="majorBidi"/>
              </w:rPr>
            </w:pPr>
            <w:r w:rsidRPr="00E56AE7">
              <w:rPr>
                <w:rFonts w:asciiTheme="majorHAnsi" w:eastAsiaTheme="majorEastAsia" w:hAnsiTheme="majorHAnsi" w:cstheme="majorBidi"/>
                <w:noProof/>
                <w:color w:val="17365D" w:themeColor="text2" w:themeShade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5D20E4" wp14:editId="4DC3AFD5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-1270</wp:posOffset>
                      </wp:positionV>
                      <wp:extent cx="6296025" cy="666750"/>
                      <wp:effectExtent l="0" t="0" r="28575" b="19050"/>
                      <wp:wrapTopAndBottom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58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15.2pt;margin-top:-.1pt;width:495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" fillcolor="#95b3d7 [1940]" strokecolor="#8db3e2 [1311]">
                      <v:fill opacity="38036f"/>
                      <w10:wrap type="topAndBottom"/>
                    </v:rect>
                  </w:pict>
                </mc:Fallback>
              </mc:AlternateContent>
            </w:r>
            <w:r w:rsidR="00690B46">
              <w:rPr>
                <w:rFonts w:asciiTheme="majorHAnsi" w:eastAsiaTheme="majorEastAsia" w:hAnsiTheme="majorHAns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3D5285" wp14:editId="3693B7D8">
                      <wp:simplePos x="0" y="0"/>
                      <wp:positionH relativeFrom="margin">
                        <wp:posOffset>6102985</wp:posOffset>
                      </wp:positionH>
                      <wp:positionV relativeFrom="bottomMargin">
                        <wp:posOffset>190500</wp:posOffset>
                      </wp:positionV>
                      <wp:extent cx="626745" cy="485775"/>
                      <wp:effectExtent l="0" t="0" r="1905" b="9525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74000"/>
                                </a:schemeClr>
                              </a:solidFill>
                              <a:extLst/>
                            </wps:spPr>
                            <wps:txbx>
                              <w:txbxContent>
                                <w:p w:rsidR="00690B46" w:rsidRPr="00E56AE7" w:rsidRDefault="00690B46">
                                  <w:pPr>
                                    <w:pStyle w:val="Pieddepag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E56AE7">
                                    <w:rPr>
                                      <w:rFonts w:ascii="Arial" w:hAnsi="Arial" w:cs="Arial"/>
                                    </w:rPr>
                                    <w:fldChar w:fldCharType="begin"/>
                                  </w:r>
                                  <w:r w:rsidRPr="00E56AE7">
                                    <w:rPr>
                                      <w:rFonts w:ascii="Arial" w:hAnsi="Arial" w:cs="Arial"/>
                                    </w:rPr>
                                    <w:instrText>PAGE    \* MERGEFORMAT</w:instrText>
                                  </w:r>
                                  <w:r w:rsidRPr="00E56AE7">
                                    <w:rPr>
                                      <w:rFonts w:ascii="Arial" w:hAnsi="Arial" w:cs="Arial"/>
                                    </w:rPr>
                                    <w:fldChar w:fldCharType="separate"/>
                                  </w:r>
                                  <w:r w:rsidR="00C3290C" w:rsidRPr="00C3290C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 w:rsidRPr="00E56AE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30" style="position:absolute;left:0;text-align:left;margin-left:480.55pt;margin-top:15pt;width:49.3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" fillcolor="#95b3d7 [1940]" stroked="f">
                      <v:fill opacity="48573f"/>
                      <v:textbox inset="0,,0">
                        <w:txbxContent>
                          <w:p w:rsidR="00690B46" w:rsidRPr="00E56AE7" w:rsidRDefault="00690B46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6AE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E56AE7">
                              <w:rPr>
                                <w:rFonts w:ascii="Arial" w:hAnsi="Arial" w:cs="Arial"/>
                              </w:rPr>
                              <w:instrText>PAGE    \* MERGEFORMAT</w:instrText>
                            </w:r>
                            <w:r w:rsidRPr="00E56AE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C3290C" w:rsidRPr="00C3290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Pr="00E56A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F7A7D" w:rsidRDefault="00BF7A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A5" w:rsidRDefault="002E7BA5">
    <w:pPr>
      <w:pStyle w:val="Pieddepage"/>
    </w:pPr>
    <w:r w:rsidRPr="00BF7A7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0327EC60" wp14:editId="2DA3E3F6">
              <wp:simplePos x="0" y="0"/>
              <wp:positionH relativeFrom="page">
                <wp:posOffset>-36830</wp:posOffset>
              </wp:positionH>
              <wp:positionV relativeFrom="page">
                <wp:posOffset>10063480</wp:posOffset>
              </wp:positionV>
              <wp:extent cx="8161020" cy="600075"/>
              <wp:effectExtent l="0" t="0" r="24765" b="28575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1020" cy="60007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9pt;margin-top:792.4pt;width:642.6pt;height:47.25pt;z-index:25168076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" o:allowincell="f" fillcolor="#4bacc6" strokecolor="#4f81bd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F" w:rsidRDefault="007E43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44" w:rsidRDefault="00760944" w:rsidP="007E438F">
      <w:r>
        <w:separator/>
      </w:r>
    </w:p>
  </w:footnote>
  <w:footnote w:type="continuationSeparator" w:id="0">
    <w:p w:rsidR="00760944" w:rsidRDefault="00760944" w:rsidP="007E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D" w:rsidRDefault="00BF7A7D" w:rsidP="000B4CE8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rFonts w:ascii="Century Gothic" w:hAnsi="Century Gothic"/>
        <w:b/>
        <w:bCs/>
        <w:color w:val="000000" w:themeColor="text1"/>
        <w:sz w:val="28"/>
        <w:szCs w:val="28"/>
      </w:rPr>
    </w:pPr>
    <w:r w:rsidRPr="007E438F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A1A24C" wp14:editId="2ADC094A">
              <wp:simplePos x="0" y="0"/>
              <wp:positionH relativeFrom="column">
                <wp:posOffset>-139700</wp:posOffset>
              </wp:positionH>
              <wp:positionV relativeFrom="paragraph">
                <wp:posOffset>-212090</wp:posOffset>
              </wp:positionV>
              <wp:extent cx="6871335" cy="409575"/>
              <wp:effectExtent l="0" t="0" r="24765" b="28575"/>
              <wp:wrapNone/>
              <wp:docPr id="2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409575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A7D" w:rsidRDefault="00713DCD" w:rsidP="00BF7A7D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alias w:val="Titre"/>
                              <w:id w:val="190949696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21F23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-11pt;margin-top:-16.7pt;width:541.0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" fillcolor="#c6d9f1" strokecolor="#4f81bd">
              <v:textbox>
                <w:txbxContent>
                  <w:p w:rsidR="00BF7A7D" w:rsidRDefault="00EE34B3" w:rsidP="00BF7A7D">
                    <w:pPr>
                      <w:jc w:val="center"/>
                    </w:pPr>
                    <w:sdt>
                      <w:sdt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alias w:val="Titre"/>
                        <w:id w:val="1909496965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21F23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  <w:p w:rsidR="00BF7A7D" w:rsidRPr="004A0696" w:rsidRDefault="00BF7A7D" w:rsidP="000B4CE8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rFonts w:ascii="Century Gothic" w:hAnsi="Century Gothic"/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A5" w:rsidRDefault="002E7BA5">
    <w:pPr>
      <w:pStyle w:val="En-tte"/>
    </w:pPr>
    <w:r w:rsidRPr="007E438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00B927" wp14:editId="22CBE549">
              <wp:simplePos x="0" y="0"/>
              <wp:positionH relativeFrom="column">
                <wp:posOffset>-77470</wp:posOffset>
              </wp:positionH>
              <wp:positionV relativeFrom="paragraph">
                <wp:posOffset>-267335</wp:posOffset>
              </wp:positionV>
              <wp:extent cx="6962775" cy="485775"/>
              <wp:effectExtent l="0" t="0" r="28575" b="2857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2775" cy="485775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BA5" w:rsidRPr="00CC1968" w:rsidRDefault="00CC1968" w:rsidP="002E7BA5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C1968">
                            <w:rPr>
                              <w:b/>
                              <w:sz w:val="28"/>
                              <w:szCs w:val="28"/>
                            </w:rPr>
                            <w:t xml:space="preserve">La formation à l’international : clé de voute de la stratégie à l’international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31" style="position:absolute;left:0;text-align:left;margin-left:-6.1pt;margin-top:-21.05pt;width:548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" fillcolor="#c6d9f1" strokecolor="#4f81bd">
              <v:textbox>
                <w:txbxContent>
                  <w:p w:rsidR="002E7BA5" w:rsidRPr="00CC1968" w:rsidRDefault="00CC1968" w:rsidP="002E7BA5">
                    <w:pPr>
                      <w:rPr>
                        <w:b/>
                        <w:sz w:val="28"/>
                        <w:szCs w:val="28"/>
                      </w:rPr>
                    </w:pPr>
                    <w:r w:rsidRPr="00CC1968">
                      <w:rPr>
                        <w:b/>
                        <w:sz w:val="28"/>
                        <w:szCs w:val="28"/>
                      </w:rPr>
                      <w:t xml:space="preserve">La formation à l’international : clé de voute de la stratégie à l’international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E" w:rsidRDefault="00B935B4">
    <w:pPr>
      <w:pStyle w:val="En-tte"/>
    </w:pPr>
    <w:r w:rsidRPr="007E438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6D19FB" wp14:editId="0B8A72DA">
              <wp:simplePos x="0" y="0"/>
              <wp:positionH relativeFrom="column">
                <wp:posOffset>-229870</wp:posOffset>
              </wp:positionH>
              <wp:positionV relativeFrom="paragraph">
                <wp:posOffset>-419735</wp:posOffset>
              </wp:positionV>
              <wp:extent cx="6962775" cy="4857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2775" cy="485775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5B4" w:rsidRPr="00AB028D" w:rsidRDefault="00B935B4" w:rsidP="00B935B4">
                          <w:pPr>
                            <w:pStyle w:val="Sansinterligne"/>
                            <w:jc w:val="center"/>
                            <w:rPr>
                              <w:rFonts w:ascii="Calibri" w:eastAsiaTheme="majorEastAsia" w:hAnsi="Calibri" w:cs="Calibri"/>
                            </w:rPr>
                          </w:pPr>
                        </w:p>
                        <w:p w:rsidR="00B935B4" w:rsidRDefault="00713DCD" w:rsidP="00B935B4">
                          <w:sdt>
                            <w:sdtPr>
                              <w:rPr>
                                <w:rFonts w:ascii="Calibri" w:eastAsiaTheme="majorEastAsia" w:hAnsi="Calibri" w:cs="Calibri"/>
                                <w:b/>
                                <w:sz w:val="32"/>
                                <w:szCs w:val="32"/>
                              </w:rPr>
                              <w:alias w:val="Titre"/>
                              <w:id w:val="183887219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02236">
                                <w:rPr>
                                  <w:rFonts w:ascii="Calibri" w:eastAsiaTheme="majorEastAsia" w:hAnsi="Calibri" w:cs="Calibri"/>
                                  <w:b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2" style="position:absolute;left:0;text-align:left;margin-left:-18.1pt;margin-top:-33.05pt;width:548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" fillcolor="#c6d9f1" strokecolor="#4f81bd">
              <v:textbox>
                <w:txbxContent>
                  <w:p w:rsidR="00B935B4" w:rsidRPr="00AB028D" w:rsidRDefault="00B935B4" w:rsidP="00B935B4">
                    <w:pPr>
                      <w:pStyle w:val="Sansinterligne"/>
                      <w:jc w:val="center"/>
                      <w:rPr>
                        <w:rFonts w:ascii="Calibri" w:eastAsiaTheme="majorEastAsia" w:hAnsi="Calibri" w:cs="Calibri"/>
                      </w:rPr>
                    </w:pPr>
                  </w:p>
                  <w:p w:rsidR="00B935B4" w:rsidRDefault="00EE34B3" w:rsidP="00B935B4">
                    <w:sdt>
                      <w:sdtPr>
                        <w:rPr>
                          <w:rFonts w:ascii="Calibri" w:eastAsiaTheme="majorEastAsia" w:hAnsi="Calibri" w:cs="Calibri"/>
                          <w:b/>
                          <w:sz w:val="32"/>
                          <w:szCs w:val="32"/>
                        </w:rPr>
                        <w:alias w:val="Titre"/>
                        <w:id w:val="1838872198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02236">
                          <w:rPr>
                            <w:rFonts w:ascii="Calibri" w:eastAsiaTheme="majorEastAsia" w:hAnsi="Calibri" w:cs="Calibri"/>
                            <w:b/>
                            <w:sz w:val="32"/>
                            <w:szCs w:val="32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32AF"/>
    <w:multiLevelType w:val="hybridMultilevel"/>
    <w:tmpl w:val="8B0E3152"/>
    <w:lvl w:ilvl="0" w:tplc="98DE0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12940"/>
    <w:multiLevelType w:val="hybridMultilevel"/>
    <w:tmpl w:val="6AFE0788"/>
    <w:lvl w:ilvl="0" w:tplc="B5BA41FA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8F"/>
    <w:rsid w:val="000018D6"/>
    <w:rsid w:val="00010340"/>
    <w:rsid w:val="00011A39"/>
    <w:rsid w:val="00012FDF"/>
    <w:rsid w:val="0001671B"/>
    <w:rsid w:val="0001744C"/>
    <w:rsid w:val="00031FE7"/>
    <w:rsid w:val="00032CE5"/>
    <w:rsid w:val="00043604"/>
    <w:rsid w:val="00052811"/>
    <w:rsid w:val="00053233"/>
    <w:rsid w:val="00057B1B"/>
    <w:rsid w:val="00066EEF"/>
    <w:rsid w:val="00076337"/>
    <w:rsid w:val="000850A8"/>
    <w:rsid w:val="00085611"/>
    <w:rsid w:val="000909BD"/>
    <w:rsid w:val="000A7F76"/>
    <w:rsid w:val="000B1B6A"/>
    <w:rsid w:val="000B3A0C"/>
    <w:rsid w:val="000B3D04"/>
    <w:rsid w:val="000B4CE8"/>
    <w:rsid w:val="000B76A5"/>
    <w:rsid w:val="000C2A44"/>
    <w:rsid w:val="000C6205"/>
    <w:rsid w:val="000C6880"/>
    <w:rsid w:val="000D2ABB"/>
    <w:rsid w:val="000D3C74"/>
    <w:rsid w:val="000E312F"/>
    <w:rsid w:val="000E3FD8"/>
    <w:rsid w:val="000E6D01"/>
    <w:rsid w:val="000F4760"/>
    <w:rsid w:val="000F4CF0"/>
    <w:rsid w:val="00122283"/>
    <w:rsid w:val="001310C8"/>
    <w:rsid w:val="00132F35"/>
    <w:rsid w:val="0013600F"/>
    <w:rsid w:val="00140D4A"/>
    <w:rsid w:val="00146A24"/>
    <w:rsid w:val="00150F23"/>
    <w:rsid w:val="0015448D"/>
    <w:rsid w:val="00157F25"/>
    <w:rsid w:val="001777B2"/>
    <w:rsid w:val="001844E4"/>
    <w:rsid w:val="00192D6C"/>
    <w:rsid w:val="001A5FA3"/>
    <w:rsid w:val="001B4F52"/>
    <w:rsid w:val="001C631E"/>
    <w:rsid w:val="001C6A95"/>
    <w:rsid w:val="001D691C"/>
    <w:rsid w:val="001E7929"/>
    <w:rsid w:val="001F0EA7"/>
    <w:rsid w:val="001F6F7F"/>
    <w:rsid w:val="00201EF5"/>
    <w:rsid w:val="00202A98"/>
    <w:rsid w:val="002106E3"/>
    <w:rsid w:val="00221F23"/>
    <w:rsid w:val="00223460"/>
    <w:rsid w:val="002259C7"/>
    <w:rsid w:val="00233AFE"/>
    <w:rsid w:val="00243617"/>
    <w:rsid w:val="002527A8"/>
    <w:rsid w:val="00277ED6"/>
    <w:rsid w:val="002B3520"/>
    <w:rsid w:val="002B6960"/>
    <w:rsid w:val="002B79B6"/>
    <w:rsid w:val="002C5D8A"/>
    <w:rsid w:val="002C5E26"/>
    <w:rsid w:val="002E7BA5"/>
    <w:rsid w:val="002F16A5"/>
    <w:rsid w:val="002F2231"/>
    <w:rsid w:val="002F3679"/>
    <w:rsid w:val="00303C1B"/>
    <w:rsid w:val="00310B51"/>
    <w:rsid w:val="00314A7A"/>
    <w:rsid w:val="00323176"/>
    <w:rsid w:val="0032538A"/>
    <w:rsid w:val="00332BFF"/>
    <w:rsid w:val="003378F4"/>
    <w:rsid w:val="00345793"/>
    <w:rsid w:val="0036243E"/>
    <w:rsid w:val="003637A5"/>
    <w:rsid w:val="0037372F"/>
    <w:rsid w:val="003A30A1"/>
    <w:rsid w:val="003A30FC"/>
    <w:rsid w:val="003B52B6"/>
    <w:rsid w:val="003B7774"/>
    <w:rsid w:val="003C02B6"/>
    <w:rsid w:val="003C0CC7"/>
    <w:rsid w:val="003C3E98"/>
    <w:rsid w:val="003D233A"/>
    <w:rsid w:val="003D5956"/>
    <w:rsid w:val="003D5DE6"/>
    <w:rsid w:val="003E26FF"/>
    <w:rsid w:val="003E30E1"/>
    <w:rsid w:val="003F1FCA"/>
    <w:rsid w:val="00417908"/>
    <w:rsid w:val="00425F31"/>
    <w:rsid w:val="0043487E"/>
    <w:rsid w:val="004516B9"/>
    <w:rsid w:val="0048387C"/>
    <w:rsid w:val="00486F63"/>
    <w:rsid w:val="004877E8"/>
    <w:rsid w:val="00491F5A"/>
    <w:rsid w:val="00492370"/>
    <w:rsid w:val="00497494"/>
    <w:rsid w:val="004A0696"/>
    <w:rsid w:val="004A113C"/>
    <w:rsid w:val="004B2E2F"/>
    <w:rsid w:val="004B5951"/>
    <w:rsid w:val="004B5B5B"/>
    <w:rsid w:val="004C1413"/>
    <w:rsid w:val="004C35EC"/>
    <w:rsid w:val="004C52AA"/>
    <w:rsid w:val="004D225B"/>
    <w:rsid w:val="004D41BB"/>
    <w:rsid w:val="004E1234"/>
    <w:rsid w:val="004E5974"/>
    <w:rsid w:val="004F5013"/>
    <w:rsid w:val="005050C9"/>
    <w:rsid w:val="00505F67"/>
    <w:rsid w:val="005423A8"/>
    <w:rsid w:val="00542763"/>
    <w:rsid w:val="00545567"/>
    <w:rsid w:val="00545903"/>
    <w:rsid w:val="0055754E"/>
    <w:rsid w:val="00565892"/>
    <w:rsid w:val="005676BF"/>
    <w:rsid w:val="00572ACC"/>
    <w:rsid w:val="00573F21"/>
    <w:rsid w:val="00575FB1"/>
    <w:rsid w:val="005A1CCD"/>
    <w:rsid w:val="005B1A08"/>
    <w:rsid w:val="005E6E96"/>
    <w:rsid w:val="006103F7"/>
    <w:rsid w:val="0061647D"/>
    <w:rsid w:val="00621238"/>
    <w:rsid w:val="00630865"/>
    <w:rsid w:val="00642A6C"/>
    <w:rsid w:val="00650382"/>
    <w:rsid w:val="00650E33"/>
    <w:rsid w:val="0066274F"/>
    <w:rsid w:val="00674DFD"/>
    <w:rsid w:val="00685EDE"/>
    <w:rsid w:val="00690B46"/>
    <w:rsid w:val="006951F5"/>
    <w:rsid w:val="00695856"/>
    <w:rsid w:val="006A4252"/>
    <w:rsid w:val="006D05BA"/>
    <w:rsid w:val="006D2D88"/>
    <w:rsid w:val="006D4A1E"/>
    <w:rsid w:val="006D78A2"/>
    <w:rsid w:val="006E5AF6"/>
    <w:rsid w:val="00700914"/>
    <w:rsid w:val="00713DCD"/>
    <w:rsid w:val="00725E1C"/>
    <w:rsid w:val="00730A7A"/>
    <w:rsid w:val="00754ABF"/>
    <w:rsid w:val="00760944"/>
    <w:rsid w:val="00780B47"/>
    <w:rsid w:val="007832D1"/>
    <w:rsid w:val="007834E0"/>
    <w:rsid w:val="007A23AB"/>
    <w:rsid w:val="007A297A"/>
    <w:rsid w:val="007C244C"/>
    <w:rsid w:val="007C271B"/>
    <w:rsid w:val="007D3D46"/>
    <w:rsid w:val="007D7224"/>
    <w:rsid w:val="007E159C"/>
    <w:rsid w:val="007E438F"/>
    <w:rsid w:val="007F6B75"/>
    <w:rsid w:val="00802B36"/>
    <w:rsid w:val="008035D8"/>
    <w:rsid w:val="0080585A"/>
    <w:rsid w:val="0080665B"/>
    <w:rsid w:val="00810843"/>
    <w:rsid w:val="00824992"/>
    <w:rsid w:val="008315C0"/>
    <w:rsid w:val="008417B9"/>
    <w:rsid w:val="00842887"/>
    <w:rsid w:val="00857239"/>
    <w:rsid w:val="008579BF"/>
    <w:rsid w:val="0086293B"/>
    <w:rsid w:val="00870F90"/>
    <w:rsid w:val="0089194C"/>
    <w:rsid w:val="00892AC8"/>
    <w:rsid w:val="008A11F0"/>
    <w:rsid w:val="008A2050"/>
    <w:rsid w:val="008C3A91"/>
    <w:rsid w:val="008D0DE1"/>
    <w:rsid w:val="008D14CE"/>
    <w:rsid w:val="008E460D"/>
    <w:rsid w:val="00910DB6"/>
    <w:rsid w:val="00912431"/>
    <w:rsid w:val="00912A38"/>
    <w:rsid w:val="00915A39"/>
    <w:rsid w:val="009238E2"/>
    <w:rsid w:val="00923A4D"/>
    <w:rsid w:val="00927F77"/>
    <w:rsid w:val="009366A1"/>
    <w:rsid w:val="009438E1"/>
    <w:rsid w:val="009514F0"/>
    <w:rsid w:val="00956B6D"/>
    <w:rsid w:val="009613D5"/>
    <w:rsid w:val="009658FD"/>
    <w:rsid w:val="009715A1"/>
    <w:rsid w:val="00977552"/>
    <w:rsid w:val="00980B7F"/>
    <w:rsid w:val="00992205"/>
    <w:rsid w:val="009968D6"/>
    <w:rsid w:val="00997B6F"/>
    <w:rsid w:val="009A56B8"/>
    <w:rsid w:val="009E36D5"/>
    <w:rsid w:val="009F19BD"/>
    <w:rsid w:val="00A05214"/>
    <w:rsid w:val="00A12A39"/>
    <w:rsid w:val="00A23B4C"/>
    <w:rsid w:val="00A277CE"/>
    <w:rsid w:val="00A34B6F"/>
    <w:rsid w:val="00A41698"/>
    <w:rsid w:val="00A90EA1"/>
    <w:rsid w:val="00A9272F"/>
    <w:rsid w:val="00AA3807"/>
    <w:rsid w:val="00AA4A75"/>
    <w:rsid w:val="00AA591A"/>
    <w:rsid w:val="00AB028D"/>
    <w:rsid w:val="00AB213B"/>
    <w:rsid w:val="00AC03F6"/>
    <w:rsid w:val="00AD0025"/>
    <w:rsid w:val="00AE0D2C"/>
    <w:rsid w:val="00AE50EB"/>
    <w:rsid w:val="00AF4C07"/>
    <w:rsid w:val="00AF6CB6"/>
    <w:rsid w:val="00AF7D96"/>
    <w:rsid w:val="00B00D7E"/>
    <w:rsid w:val="00B02236"/>
    <w:rsid w:val="00B02DF2"/>
    <w:rsid w:val="00B0371F"/>
    <w:rsid w:val="00B06C10"/>
    <w:rsid w:val="00B1021E"/>
    <w:rsid w:val="00B12D93"/>
    <w:rsid w:val="00B202AA"/>
    <w:rsid w:val="00B2549A"/>
    <w:rsid w:val="00B263C4"/>
    <w:rsid w:val="00B27D2B"/>
    <w:rsid w:val="00B47BE1"/>
    <w:rsid w:val="00B5323C"/>
    <w:rsid w:val="00B5792D"/>
    <w:rsid w:val="00B625BD"/>
    <w:rsid w:val="00B74F9D"/>
    <w:rsid w:val="00B935B4"/>
    <w:rsid w:val="00BA1424"/>
    <w:rsid w:val="00BA603D"/>
    <w:rsid w:val="00BA6A80"/>
    <w:rsid w:val="00BB390A"/>
    <w:rsid w:val="00BD2FE2"/>
    <w:rsid w:val="00BD729A"/>
    <w:rsid w:val="00BE1468"/>
    <w:rsid w:val="00BE7E6E"/>
    <w:rsid w:val="00BF7A7D"/>
    <w:rsid w:val="00C01552"/>
    <w:rsid w:val="00C15CDD"/>
    <w:rsid w:val="00C22C46"/>
    <w:rsid w:val="00C25DD6"/>
    <w:rsid w:val="00C3290C"/>
    <w:rsid w:val="00C43789"/>
    <w:rsid w:val="00C4558F"/>
    <w:rsid w:val="00C57788"/>
    <w:rsid w:val="00C60C39"/>
    <w:rsid w:val="00C62C7B"/>
    <w:rsid w:val="00C63E62"/>
    <w:rsid w:val="00C64D13"/>
    <w:rsid w:val="00C70B72"/>
    <w:rsid w:val="00C7218D"/>
    <w:rsid w:val="00C820D3"/>
    <w:rsid w:val="00C94F77"/>
    <w:rsid w:val="00CA5C2F"/>
    <w:rsid w:val="00CC1968"/>
    <w:rsid w:val="00CD511A"/>
    <w:rsid w:val="00D043EF"/>
    <w:rsid w:val="00D114B6"/>
    <w:rsid w:val="00D2528E"/>
    <w:rsid w:val="00D26894"/>
    <w:rsid w:val="00D31DFF"/>
    <w:rsid w:val="00D458F9"/>
    <w:rsid w:val="00D574E5"/>
    <w:rsid w:val="00D73C6B"/>
    <w:rsid w:val="00D93181"/>
    <w:rsid w:val="00D93389"/>
    <w:rsid w:val="00D9549C"/>
    <w:rsid w:val="00DA3FCE"/>
    <w:rsid w:val="00DA54C9"/>
    <w:rsid w:val="00DA5C0A"/>
    <w:rsid w:val="00DB7E54"/>
    <w:rsid w:val="00DC51AE"/>
    <w:rsid w:val="00DE2A17"/>
    <w:rsid w:val="00DE344B"/>
    <w:rsid w:val="00DE630D"/>
    <w:rsid w:val="00DE7B05"/>
    <w:rsid w:val="00E00722"/>
    <w:rsid w:val="00E046F6"/>
    <w:rsid w:val="00E05EB7"/>
    <w:rsid w:val="00E1129F"/>
    <w:rsid w:val="00E1736C"/>
    <w:rsid w:val="00E214D4"/>
    <w:rsid w:val="00E246D3"/>
    <w:rsid w:val="00E321D2"/>
    <w:rsid w:val="00E40FC3"/>
    <w:rsid w:val="00E41ACD"/>
    <w:rsid w:val="00E47546"/>
    <w:rsid w:val="00E47C62"/>
    <w:rsid w:val="00E56AE7"/>
    <w:rsid w:val="00E66893"/>
    <w:rsid w:val="00E7375B"/>
    <w:rsid w:val="00E76456"/>
    <w:rsid w:val="00E84247"/>
    <w:rsid w:val="00E864D2"/>
    <w:rsid w:val="00E949AB"/>
    <w:rsid w:val="00EA1DAD"/>
    <w:rsid w:val="00EA38E8"/>
    <w:rsid w:val="00EB5BF9"/>
    <w:rsid w:val="00EB5F97"/>
    <w:rsid w:val="00ED1DD5"/>
    <w:rsid w:val="00ED595F"/>
    <w:rsid w:val="00ED767B"/>
    <w:rsid w:val="00EE262B"/>
    <w:rsid w:val="00EE34B3"/>
    <w:rsid w:val="00EF3695"/>
    <w:rsid w:val="00EF3CF5"/>
    <w:rsid w:val="00F22407"/>
    <w:rsid w:val="00F22F0C"/>
    <w:rsid w:val="00F3413E"/>
    <w:rsid w:val="00F35C13"/>
    <w:rsid w:val="00F63A62"/>
    <w:rsid w:val="00F6496D"/>
    <w:rsid w:val="00F73418"/>
    <w:rsid w:val="00F73C28"/>
    <w:rsid w:val="00F73EAD"/>
    <w:rsid w:val="00F76ACA"/>
    <w:rsid w:val="00F8101B"/>
    <w:rsid w:val="00F96CF6"/>
    <w:rsid w:val="00FA0D06"/>
    <w:rsid w:val="00FA2E0F"/>
    <w:rsid w:val="00FA3022"/>
    <w:rsid w:val="00FB24B4"/>
    <w:rsid w:val="00FC3364"/>
    <w:rsid w:val="00FC519D"/>
    <w:rsid w:val="00FC7058"/>
    <w:rsid w:val="00FD5052"/>
    <w:rsid w:val="00FD7F82"/>
    <w:rsid w:val="00FE5171"/>
    <w:rsid w:val="00FE761D"/>
    <w:rsid w:val="00FF0416"/>
    <w:rsid w:val="00FF06A4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83"/>
  </w:style>
  <w:style w:type="paragraph" w:styleId="Titre1">
    <w:name w:val="heading 1"/>
    <w:basedOn w:val="Normal"/>
    <w:next w:val="Normal"/>
    <w:link w:val="Titre1Car"/>
    <w:uiPriority w:val="9"/>
    <w:qFormat/>
    <w:rsid w:val="00BA142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142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42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42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42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42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42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42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42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3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38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43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38F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38F"/>
    <w:rPr>
      <w:rFonts w:ascii="Tahoma" w:hAnsi="Tahoma" w:cs="Tahoma"/>
      <w:sz w:val="16"/>
      <w:szCs w:val="16"/>
      <w:lang w:eastAsia="fr-FR"/>
    </w:rPr>
  </w:style>
  <w:style w:type="character" w:styleId="Appelnotedebasdep">
    <w:name w:val="footnote reference"/>
    <w:rsid w:val="006D4A1E"/>
    <w:rPr>
      <w:vertAlign w:val="superscript"/>
    </w:rPr>
  </w:style>
  <w:style w:type="character" w:styleId="Numrodepage">
    <w:name w:val="page number"/>
    <w:basedOn w:val="Policepardfaut"/>
    <w:uiPriority w:val="99"/>
    <w:unhideWhenUsed/>
    <w:rsid w:val="006D4A1E"/>
  </w:style>
  <w:style w:type="paragraph" w:styleId="Paragraphedeliste">
    <w:name w:val="List Paragraph"/>
    <w:basedOn w:val="Normal"/>
    <w:uiPriority w:val="34"/>
    <w:qFormat/>
    <w:rsid w:val="00BA1424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BA1424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14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14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14D4"/>
    <w:rPr>
      <w:rFonts w:ascii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F50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A1424"/>
    <w:rPr>
      <w:b/>
      <w:bCs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14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A14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A14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A14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A14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A14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A14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A14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4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A142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A14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4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424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A1424"/>
    <w:rPr>
      <w:b/>
      <w:bCs/>
      <w:spacing w:val="0"/>
    </w:rPr>
  </w:style>
  <w:style w:type="character" w:styleId="Accentuation">
    <w:name w:val="Emphasis"/>
    <w:uiPriority w:val="20"/>
    <w:qFormat/>
    <w:rsid w:val="00BA1424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BA14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A14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4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4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A1424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A1424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A1424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A1424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A14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424"/>
    <w:pPr>
      <w:outlineLvl w:val="9"/>
    </w:pPr>
    <w:rPr>
      <w:lang w:bidi="en-US"/>
    </w:rPr>
  </w:style>
  <w:style w:type="character" w:styleId="CitationHTML">
    <w:name w:val="HTML Cite"/>
    <w:basedOn w:val="Policepardfaut"/>
    <w:uiPriority w:val="99"/>
    <w:semiHidden/>
    <w:unhideWhenUsed/>
    <w:rsid w:val="00122283"/>
    <w:rPr>
      <w:i/>
      <w:iCs/>
    </w:rPr>
  </w:style>
  <w:style w:type="character" w:customStyle="1" w:styleId="st">
    <w:name w:val="st"/>
    <w:basedOn w:val="Policepardfaut"/>
    <w:rsid w:val="005A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83"/>
  </w:style>
  <w:style w:type="paragraph" w:styleId="Titre1">
    <w:name w:val="heading 1"/>
    <w:basedOn w:val="Normal"/>
    <w:next w:val="Normal"/>
    <w:link w:val="Titre1Car"/>
    <w:uiPriority w:val="9"/>
    <w:qFormat/>
    <w:rsid w:val="00BA142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142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42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42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42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42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42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42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42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3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38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43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38F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38F"/>
    <w:rPr>
      <w:rFonts w:ascii="Tahoma" w:hAnsi="Tahoma" w:cs="Tahoma"/>
      <w:sz w:val="16"/>
      <w:szCs w:val="16"/>
      <w:lang w:eastAsia="fr-FR"/>
    </w:rPr>
  </w:style>
  <w:style w:type="character" w:styleId="Appelnotedebasdep">
    <w:name w:val="footnote reference"/>
    <w:rsid w:val="006D4A1E"/>
    <w:rPr>
      <w:vertAlign w:val="superscript"/>
    </w:rPr>
  </w:style>
  <w:style w:type="character" w:styleId="Numrodepage">
    <w:name w:val="page number"/>
    <w:basedOn w:val="Policepardfaut"/>
    <w:uiPriority w:val="99"/>
    <w:unhideWhenUsed/>
    <w:rsid w:val="006D4A1E"/>
  </w:style>
  <w:style w:type="paragraph" w:styleId="Paragraphedeliste">
    <w:name w:val="List Paragraph"/>
    <w:basedOn w:val="Normal"/>
    <w:uiPriority w:val="34"/>
    <w:qFormat/>
    <w:rsid w:val="00BA1424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BA1424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14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14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14D4"/>
    <w:rPr>
      <w:rFonts w:ascii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F50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A1424"/>
    <w:rPr>
      <w:b/>
      <w:bCs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14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A14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A14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A14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A14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A14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A14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A14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4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A142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A14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4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424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A1424"/>
    <w:rPr>
      <w:b/>
      <w:bCs/>
      <w:spacing w:val="0"/>
    </w:rPr>
  </w:style>
  <w:style w:type="character" w:styleId="Accentuation">
    <w:name w:val="Emphasis"/>
    <w:uiPriority w:val="20"/>
    <w:qFormat/>
    <w:rsid w:val="00BA1424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BA14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A14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4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4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A1424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A1424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A1424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A1424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A14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424"/>
    <w:pPr>
      <w:outlineLvl w:val="9"/>
    </w:pPr>
    <w:rPr>
      <w:lang w:bidi="en-US"/>
    </w:rPr>
  </w:style>
  <w:style w:type="character" w:styleId="CitationHTML">
    <w:name w:val="HTML Cite"/>
    <w:basedOn w:val="Policepardfaut"/>
    <w:uiPriority w:val="99"/>
    <w:semiHidden/>
    <w:unhideWhenUsed/>
    <w:rsid w:val="00122283"/>
    <w:rPr>
      <w:i/>
      <w:iCs/>
    </w:rPr>
  </w:style>
  <w:style w:type="character" w:customStyle="1" w:styleId="st">
    <w:name w:val="st"/>
    <w:basedOn w:val="Policepardfaut"/>
    <w:rsid w:val="005A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galileo.finances.gouv.fr/index.php/426479/newtest/Y/lang/fr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guadeloupe.dieccte.gouv.fr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galileo.finances.gouv.fr/index.php/426479/newtest/Y/lang/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hyperlink" Target="https://www.galileo.finances.gouv.fr/index.php/426479/newtest/Y/lang/f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mailto:971.international@di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8D8A1-52B9-4E58-9FFA-9F9669A3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MARCL-ROCHE Marie-Lise (DR971)</dc:creator>
  <cp:lastModifiedBy>MARCEL-ROCHE Marie-Lise (DR971)</cp:lastModifiedBy>
  <cp:revision>2</cp:revision>
  <cp:lastPrinted>2017-12-22T13:30:00Z</cp:lastPrinted>
  <dcterms:created xsi:type="dcterms:W3CDTF">2018-06-07T16:19:00Z</dcterms:created>
  <dcterms:modified xsi:type="dcterms:W3CDTF">2018-06-07T16:19:00Z</dcterms:modified>
</cp:coreProperties>
</file>